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F5" w:rsidRDefault="00781CF5" w:rsidP="001F504A">
      <w:pPr>
        <w:pStyle w:val="Title"/>
        <w:jc w:val="left"/>
        <w:rPr>
          <w:rFonts w:cs="Tahoma"/>
          <w:sz w:val="32"/>
          <w:szCs w:val="32"/>
        </w:rPr>
      </w:pPr>
    </w:p>
    <w:p w:rsidR="00412F17" w:rsidRPr="006276A8" w:rsidRDefault="00412F17" w:rsidP="00412F17">
      <w:pPr>
        <w:spacing w:after="0"/>
        <w:jc w:val="center"/>
        <w:rPr>
          <w:b/>
          <w:sz w:val="32"/>
          <w:szCs w:val="32"/>
          <w:lang w:val="el-GR"/>
        </w:rPr>
      </w:pPr>
      <w:r>
        <w:rPr>
          <w:b/>
          <w:sz w:val="32"/>
          <w:szCs w:val="32"/>
        </w:rPr>
        <w:t>H</w:t>
      </w:r>
      <w:r w:rsidRPr="006276A8">
        <w:rPr>
          <w:b/>
          <w:sz w:val="32"/>
          <w:szCs w:val="32"/>
          <w:lang w:val="el-GR"/>
        </w:rPr>
        <w:t xml:space="preserve"> πολιτική αδράνεια </w:t>
      </w:r>
      <w:r>
        <w:rPr>
          <w:b/>
          <w:sz w:val="32"/>
          <w:szCs w:val="32"/>
          <w:lang w:val="el-GR"/>
        </w:rPr>
        <w:t xml:space="preserve">για τις </w:t>
      </w:r>
      <w:r w:rsidRPr="006276A8">
        <w:rPr>
          <w:b/>
          <w:sz w:val="32"/>
          <w:szCs w:val="32"/>
          <w:lang w:val="el-GR"/>
        </w:rPr>
        <w:t>στρατηγικές βιώσιμης ενέργειας</w:t>
      </w:r>
      <w:r>
        <w:rPr>
          <w:b/>
          <w:sz w:val="32"/>
          <w:szCs w:val="32"/>
          <w:lang w:val="el-GR"/>
        </w:rPr>
        <w:t xml:space="preserve"> υπεύθυνη για </w:t>
      </w:r>
      <w:r w:rsidRPr="006276A8">
        <w:rPr>
          <w:b/>
          <w:sz w:val="32"/>
          <w:szCs w:val="32"/>
          <w:lang w:val="el-GR"/>
        </w:rPr>
        <w:t xml:space="preserve">την έλλειψη προόδου </w:t>
      </w:r>
      <w:r>
        <w:rPr>
          <w:b/>
          <w:sz w:val="32"/>
          <w:szCs w:val="32"/>
          <w:lang w:val="el-GR"/>
        </w:rPr>
        <w:t xml:space="preserve">στην επίτευξη των κλιματικών και αναπτυξιακών </w:t>
      </w:r>
      <w:r w:rsidRPr="006276A8">
        <w:rPr>
          <w:b/>
          <w:sz w:val="32"/>
          <w:szCs w:val="32"/>
          <w:lang w:val="el-GR"/>
        </w:rPr>
        <w:t>στόχων του ΟΗΕ</w:t>
      </w:r>
    </w:p>
    <w:p w:rsidR="00412F17" w:rsidRPr="00412F17" w:rsidRDefault="00412F17" w:rsidP="00412F17">
      <w:pPr>
        <w:spacing w:after="0"/>
        <w:jc w:val="center"/>
        <w:rPr>
          <w:rFonts w:cs="Calibri"/>
          <w:lang w:val="el-GR"/>
        </w:rPr>
      </w:pPr>
    </w:p>
    <w:p w:rsidR="00412F17" w:rsidRPr="00412F17" w:rsidRDefault="00412F17" w:rsidP="00412F17">
      <w:pPr>
        <w:spacing w:after="0"/>
        <w:jc w:val="center"/>
        <w:rPr>
          <w:rFonts w:cs="Calibri"/>
          <w:lang w:val="el-GR"/>
        </w:rPr>
      </w:pPr>
      <w:r w:rsidRPr="00412F17">
        <w:rPr>
          <w:rFonts w:cs="Calibri"/>
          <w:lang w:val="el-GR"/>
        </w:rPr>
        <w:t xml:space="preserve">Οι ανανεώσιμες πηγές ενέργειας παρέχουν σήμερα περισσότερο από το ένα τέταρτο (26%) της παγκόσμιας παραγωγής ηλεκτρικής ενέργειας, αλλά οι τρέχουσες τάσεις στον τομέα δείχνουν ότι απαιτούνται πιο αποφασιστικές πολιτικές </w:t>
      </w:r>
      <w:r w:rsidRPr="00412F17">
        <w:rPr>
          <w:rFonts w:cs="Calibri"/>
          <w:b/>
          <w:lang w:val="el-GR"/>
        </w:rPr>
        <w:t>σε όλους τους τομείς τελικής χρήσης</w:t>
      </w:r>
      <w:r w:rsidRPr="00412F17">
        <w:rPr>
          <w:rFonts w:cs="Calibri"/>
          <w:lang w:val="el-GR"/>
        </w:rPr>
        <w:t xml:space="preserve"> προκειμένου να καταστούν βιώσιμα τα ενεργειακά συστήματα.</w:t>
      </w:r>
    </w:p>
    <w:p w:rsidR="00412F17" w:rsidRPr="00412F17" w:rsidRDefault="00412F17" w:rsidP="00412F17">
      <w:pPr>
        <w:spacing w:after="0"/>
        <w:jc w:val="center"/>
        <w:rPr>
          <w:rFonts w:cs="Calibri"/>
          <w:lang w:val="el-GR"/>
        </w:rPr>
      </w:pPr>
    </w:p>
    <w:p w:rsidR="00412F17" w:rsidRPr="00412F17" w:rsidRDefault="00412F17" w:rsidP="00412F17">
      <w:pPr>
        <w:spacing w:after="0"/>
        <w:rPr>
          <w:rFonts w:cs="Calibri"/>
          <w:lang w:val="el-GR"/>
        </w:rPr>
      </w:pPr>
    </w:p>
    <w:p w:rsidR="00412F17" w:rsidRPr="00412F17" w:rsidRDefault="00412F17" w:rsidP="00412F17">
      <w:pPr>
        <w:spacing w:after="0"/>
        <w:jc w:val="both"/>
        <w:rPr>
          <w:rFonts w:cs="Calibri"/>
          <w:b/>
          <w:i/>
          <w:color w:val="FF0000"/>
          <w:sz w:val="28"/>
          <w:szCs w:val="28"/>
          <w:lang w:val="el-GR"/>
        </w:rPr>
      </w:pPr>
      <w:r w:rsidRPr="00412F17">
        <w:rPr>
          <w:rFonts w:cs="Calibri"/>
          <w:b/>
          <w:i/>
          <w:color w:val="FF0000"/>
          <w:sz w:val="28"/>
          <w:szCs w:val="28"/>
        </w:rPr>
        <w:t>Embargoed</w:t>
      </w:r>
      <w:r w:rsidRPr="00412F17">
        <w:rPr>
          <w:rFonts w:cs="Calibri"/>
          <w:b/>
          <w:i/>
          <w:color w:val="FF0000"/>
          <w:sz w:val="28"/>
          <w:szCs w:val="28"/>
          <w:lang w:val="el-GR"/>
        </w:rPr>
        <w:t xml:space="preserve"> </w:t>
      </w:r>
      <w:r w:rsidRPr="00412F17">
        <w:rPr>
          <w:rFonts w:cs="Calibri"/>
          <w:b/>
          <w:i/>
          <w:color w:val="FF0000"/>
          <w:sz w:val="28"/>
          <w:szCs w:val="28"/>
        </w:rPr>
        <w:t>until</w:t>
      </w:r>
      <w:r w:rsidRPr="00412F17">
        <w:rPr>
          <w:rFonts w:cs="Calibri"/>
          <w:b/>
          <w:i/>
          <w:color w:val="FF0000"/>
          <w:sz w:val="28"/>
          <w:szCs w:val="28"/>
          <w:lang w:val="el-GR"/>
        </w:rPr>
        <w:t xml:space="preserve">: 00:15 - 18 </w:t>
      </w:r>
      <w:r w:rsidRPr="00412F17">
        <w:rPr>
          <w:rFonts w:cs="Calibri"/>
          <w:b/>
          <w:i/>
          <w:color w:val="FF0000"/>
          <w:sz w:val="28"/>
          <w:szCs w:val="28"/>
        </w:rPr>
        <w:t>June</w:t>
      </w:r>
      <w:r w:rsidRPr="00412F17">
        <w:rPr>
          <w:rFonts w:cs="Calibri"/>
          <w:b/>
          <w:i/>
          <w:color w:val="FF0000"/>
          <w:sz w:val="28"/>
          <w:szCs w:val="28"/>
          <w:lang w:val="el-GR"/>
        </w:rPr>
        <w:t xml:space="preserve"> </w:t>
      </w:r>
    </w:p>
    <w:p w:rsidR="00412F17" w:rsidRPr="00412F17" w:rsidRDefault="00412F17" w:rsidP="00412F17">
      <w:pPr>
        <w:spacing w:after="0"/>
        <w:jc w:val="both"/>
        <w:rPr>
          <w:rFonts w:cs="Calibri"/>
          <w:lang w:val="el-GR"/>
        </w:rPr>
      </w:pPr>
    </w:p>
    <w:p w:rsidR="00412F17" w:rsidRPr="00412F17" w:rsidRDefault="00412F17" w:rsidP="00412F17">
      <w:pPr>
        <w:spacing w:after="0"/>
        <w:jc w:val="both"/>
        <w:rPr>
          <w:rFonts w:cs="Calibri"/>
          <w:lang w:val="el-GR"/>
        </w:rPr>
      </w:pPr>
      <w:r w:rsidRPr="00412F17">
        <w:rPr>
          <w:rFonts w:cs="Calibri"/>
          <w:lang w:val="el-GR"/>
        </w:rPr>
        <w:t xml:space="preserve">Τρίτη, 18 Ιουνίου 2019 - Παρίσι: Οι ανανεώσιμες πηγές ενέργειας τροφοδοτούν όλο και περισσότερο τον πλανήτη, αλλά η μη συστηματική χάραξη πολιτικής περιορίζει την επίτευξη μείωσης ρύπανσης από άνθρακα και την επίτευξη των κλιματικών και αναπτυξιακών στόχων, σύμφωνα με την </w:t>
      </w:r>
      <w:r w:rsidRPr="00412F17">
        <w:rPr>
          <w:rFonts w:cs="Calibri"/>
          <w:b/>
          <w:lang w:val="el-GR"/>
        </w:rPr>
        <w:t xml:space="preserve">Παγκόσμια Έκθεση για την Παγκόσμια Κατάσταση του </w:t>
      </w:r>
      <w:r w:rsidRPr="00412F17">
        <w:rPr>
          <w:rFonts w:cs="Calibri"/>
          <w:b/>
        </w:rPr>
        <w:t>REN</w:t>
      </w:r>
      <w:r w:rsidRPr="00412F17">
        <w:rPr>
          <w:rFonts w:cs="Calibri"/>
          <w:b/>
          <w:lang w:val="el-GR"/>
        </w:rPr>
        <w:t>21 (</w:t>
      </w:r>
      <w:r w:rsidRPr="00412F17">
        <w:rPr>
          <w:rFonts w:cs="Calibri"/>
          <w:b/>
        </w:rPr>
        <w:t>GSR</w:t>
      </w:r>
      <w:r w:rsidRPr="00412F17">
        <w:rPr>
          <w:rFonts w:cs="Calibri"/>
          <w:b/>
          <w:lang w:val="el-GR"/>
        </w:rPr>
        <w:t>)</w:t>
      </w:r>
      <w:r w:rsidRPr="00412F17">
        <w:rPr>
          <w:rFonts w:cs="Calibri"/>
          <w:lang w:val="el-GR"/>
        </w:rPr>
        <w:t xml:space="preserve"> που κυκλοφόρησε σήμερα.</w:t>
      </w:r>
    </w:p>
    <w:p w:rsidR="00412F17" w:rsidRPr="00412F17" w:rsidRDefault="00412F17" w:rsidP="00412F17">
      <w:pPr>
        <w:spacing w:after="0"/>
        <w:jc w:val="both"/>
        <w:rPr>
          <w:rFonts w:cs="Calibri"/>
          <w:b/>
          <w:lang w:val="el-GR"/>
        </w:rPr>
      </w:pPr>
    </w:p>
    <w:p w:rsidR="00412F17" w:rsidRPr="00412F17" w:rsidRDefault="00412F17" w:rsidP="00412F17">
      <w:pPr>
        <w:spacing w:after="0"/>
        <w:jc w:val="both"/>
        <w:rPr>
          <w:rFonts w:cs="Calibri"/>
          <w:lang w:val="el-GR"/>
        </w:rPr>
      </w:pPr>
      <w:r w:rsidRPr="00412F17">
        <w:rPr>
          <w:rFonts w:cs="Calibri"/>
          <w:lang w:val="el-GR"/>
        </w:rPr>
        <w:t xml:space="preserve">Η έκθεση επιβεβαιώνει ότι για τέταρτη συνεχή χρονιά εγκαταστάθηκε </w:t>
      </w:r>
      <w:r w:rsidRPr="00412F17">
        <w:rPr>
          <w:rFonts w:cs="Calibri"/>
          <w:b/>
          <w:lang w:val="el-GR"/>
        </w:rPr>
        <w:t xml:space="preserve">περισσότερη ηλεκτρική ισχύς από ανανεώσιμες πηγές ενέργειας σε σχέση με το άθροισμα της εγκατεστημένης ισχύος από ορυκτά καύσιμα και πυρηνική ενέργεια. </w:t>
      </w:r>
      <w:r w:rsidRPr="00412F17">
        <w:rPr>
          <w:rFonts w:cs="Calibri"/>
          <w:lang w:val="el-GR"/>
        </w:rPr>
        <w:t>Μόνο από την</w:t>
      </w:r>
      <w:r w:rsidRPr="00412F17">
        <w:rPr>
          <w:rFonts w:cs="Calibri"/>
          <w:b/>
          <w:lang w:val="el-GR"/>
        </w:rPr>
        <w:t xml:space="preserve"> </w:t>
      </w:r>
      <w:r w:rsidRPr="00412F17">
        <w:rPr>
          <w:rFonts w:cs="Calibri"/>
          <w:lang w:val="el-GR"/>
        </w:rPr>
        <w:t xml:space="preserve">ηλιακή φωτοβολταϊκή ενέργεια το 2018 προστέθηκαν 100 </w:t>
      </w:r>
      <w:r w:rsidRPr="00412F17">
        <w:rPr>
          <w:rFonts w:cs="Calibri"/>
        </w:rPr>
        <w:t>gigawatts</w:t>
      </w:r>
      <w:r w:rsidRPr="00412F17">
        <w:rPr>
          <w:rFonts w:cs="Calibri"/>
          <w:lang w:val="el-GR"/>
        </w:rPr>
        <w:t xml:space="preserve"> (</w:t>
      </w:r>
      <w:r w:rsidRPr="00412F17">
        <w:rPr>
          <w:rFonts w:cs="Calibri"/>
        </w:rPr>
        <w:t>GW</w:t>
      </w:r>
      <w:r w:rsidRPr="00412F17">
        <w:rPr>
          <w:rFonts w:cs="Calibri"/>
          <w:lang w:val="el-GR"/>
        </w:rPr>
        <w:t>), αρκετά για να καλύψουν περισσότερο από το 25% της ζήτησης ηλεκτρικής ενέργειας στη Γαλλία.</w:t>
      </w:r>
    </w:p>
    <w:p w:rsidR="00412F17" w:rsidRPr="00412F17" w:rsidRDefault="00412F17" w:rsidP="00412F17">
      <w:pPr>
        <w:spacing w:after="0"/>
        <w:jc w:val="both"/>
        <w:rPr>
          <w:rFonts w:cs="Calibri"/>
          <w:lang w:val="el-GR"/>
        </w:rPr>
      </w:pPr>
    </w:p>
    <w:p w:rsidR="00412F17" w:rsidRPr="00412F17" w:rsidRDefault="00412F17" w:rsidP="00412F17">
      <w:pPr>
        <w:spacing w:after="0"/>
        <w:jc w:val="both"/>
        <w:rPr>
          <w:rFonts w:cs="Calibri"/>
          <w:lang w:val="el-GR"/>
        </w:rPr>
      </w:pPr>
      <w:bookmarkStart w:id="0" w:name="_Hlk10350174"/>
      <w:r w:rsidRPr="00412F17">
        <w:rPr>
          <w:rFonts w:cs="Calibri"/>
          <w:lang w:val="el-GR"/>
        </w:rPr>
        <w:t>Ωστόσο, η έλλειψη φιλόδοξων και βιώσιμων πολιτικών για την εξάλειψη των εκπομπών διοξειδίου του άνθρακα στους τομείς της θέρμανσης, της ψύξης και των μεταφορών έχει ως αποτέλεσμα χώρες να μην μεγιστοποιούν τα οφέλη της μετάβασης – όπως καθαρότερο αέρα και ενεργειακή ασφάλεια- για τους πολίτες τους.</w:t>
      </w:r>
    </w:p>
    <w:p w:rsidR="00412F17" w:rsidRPr="00412F17" w:rsidRDefault="00412F17" w:rsidP="00412F17">
      <w:pPr>
        <w:spacing w:after="0"/>
        <w:jc w:val="both"/>
        <w:rPr>
          <w:rFonts w:cs="Calibri"/>
          <w:lang w:val="el-GR"/>
        </w:rPr>
      </w:pPr>
    </w:p>
    <w:p w:rsidR="00412F17" w:rsidRPr="00412F17" w:rsidRDefault="00412F17" w:rsidP="00412F17">
      <w:pPr>
        <w:spacing w:after="0"/>
        <w:jc w:val="both"/>
        <w:rPr>
          <w:rFonts w:cs="Calibri"/>
          <w:lang w:val="el-GR"/>
        </w:rPr>
      </w:pPr>
      <w:bookmarkStart w:id="1" w:name="_Hlk10350758"/>
      <w:bookmarkEnd w:id="0"/>
      <w:r w:rsidRPr="00412F17">
        <w:rPr>
          <w:rFonts w:cs="Calibri"/>
          <w:b/>
          <w:lang w:val="el-GR"/>
        </w:rPr>
        <w:t xml:space="preserve">"Σημαντική πρόοδος θα μπορούσε να σημειωθεί αν οι χώρες έκοβαν τις επιδοτήσεις   σε ορυκτά καύσιμα τα οποία στηρίζουν την παραγωγή βρώμικης ενέργειας", λέει η </w:t>
      </w:r>
      <w:r w:rsidRPr="00412F17">
        <w:rPr>
          <w:rFonts w:cs="Calibri"/>
          <w:b/>
        </w:rPr>
        <w:t>Rana</w:t>
      </w:r>
      <w:r w:rsidRPr="00412F17">
        <w:rPr>
          <w:rFonts w:cs="Calibri"/>
          <w:b/>
          <w:lang w:val="el-GR"/>
        </w:rPr>
        <w:t xml:space="preserve"> </w:t>
      </w:r>
      <w:r w:rsidRPr="00412F17">
        <w:rPr>
          <w:rFonts w:cs="Calibri"/>
          <w:b/>
        </w:rPr>
        <w:t>Adib</w:t>
      </w:r>
      <w:r w:rsidRPr="00412F17">
        <w:rPr>
          <w:rFonts w:cs="Calibri"/>
          <w:b/>
          <w:lang w:val="el-GR"/>
        </w:rPr>
        <w:t xml:space="preserve">, εκτελεστική γραμματέας, </w:t>
      </w:r>
      <w:r w:rsidRPr="00412F17">
        <w:rPr>
          <w:rFonts w:cs="Calibri"/>
          <w:b/>
        </w:rPr>
        <w:t>REN</w:t>
      </w:r>
      <w:r w:rsidRPr="00412F17">
        <w:rPr>
          <w:rFonts w:cs="Calibri"/>
          <w:b/>
          <w:lang w:val="el-GR"/>
        </w:rPr>
        <w:t>21.</w:t>
      </w:r>
      <w:r w:rsidRPr="00412F17">
        <w:rPr>
          <w:rFonts w:cs="Calibri"/>
          <w:lang w:val="el-GR"/>
        </w:rPr>
        <w:t xml:space="preserve"> Φιλόδοξα πολιτικά και ρυθμιστικά πλαίσια είναι κρίσιμα για τη δημιουργία ευνοϊκών και ανταγωνιστικών συνθηκών, επιτρέποντας την ανάπτυξη ανανεώσιμων πηγών ενέργειας,  εκτοπίζοντας έτσι πιο δαπανηρά καύσιμα που εκπέμπουν άνθρακα. Σαράντα χώρες έχουν αναλάβει κάποιου τύπου μεταρρυθμίσεις στον τομέα επιδοτήσεων ορυκτών καυσίμων από το 2015, αλλά το 2017 αυτές εξακολουθούν να υπάρχουν σε 112 χώρες,  με 73 από αυτές να </w:t>
      </w:r>
      <w:r w:rsidRPr="00412F17">
        <w:rPr>
          <w:rFonts w:cs="Calibri"/>
          <w:lang w:val="el-GR"/>
        </w:rPr>
        <w:lastRenderedPageBreak/>
        <w:t>παρέχουν επιδοτήσεις άνω των 100 εκατομμυρίων δολαρίων η καθεμία. Οι εκτιμώμενες παγκόσμιες επιδοτήσεις σε ορυκτά καύσιμα ήταν 300 δισεκατομμύρια δολάρια  το 2017, αύξηση 11% από το 2016.</w:t>
      </w:r>
    </w:p>
    <w:bookmarkEnd w:id="1"/>
    <w:p w:rsidR="00412F17" w:rsidRPr="00412F17" w:rsidRDefault="00412F17" w:rsidP="00412F17">
      <w:pPr>
        <w:spacing w:after="0"/>
        <w:jc w:val="both"/>
        <w:rPr>
          <w:rFonts w:cs="Calibri"/>
          <w:b/>
          <w:lang w:val="el-GR"/>
        </w:rPr>
      </w:pPr>
    </w:p>
    <w:p w:rsidR="00412F17" w:rsidRPr="00412F17" w:rsidRDefault="00412F17" w:rsidP="00412F17">
      <w:pPr>
        <w:spacing w:after="0"/>
        <w:jc w:val="both"/>
        <w:rPr>
          <w:rFonts w:cs="Calibri"/>
          <w:b/>
        </w:rPr>
      </w:pPr>
      <w:r w:rsidRPr="00412F17">
        <w:rPr>
          <w:rFonts w:cs="Calibri"/>
          <w:b/>
          <w:lang w:val="el-GR"/>
        </w:rPr>
        <w:t>Σύμφωνα με την έκθεση:</w:t>
      </w:r>
    </w:p>
    <w:p w:rsidR="00412F17" w:rsidRPr="00412F17" w:rsidRDefault="00412F17" w:rsidP="00412F17">
      <w:pPr>
        <w:spacing w:after="0"/>
        <w:jc w:val="both"/>
        <w:rPr>
          <w:rFonts w:cs="Calibri"/>
          <w:b/>
        </w:rPr>
      </w:pPr>
    </w:p>
    <w:p w:rsidR="00412F17" w:rsidRPr="00412F17" w:rsidRDefault="00412F17" w:rsidP="00412F17">
      <w:pPr>
        <w:pStyle w:val="ListParagraph"/>
        <w:numPr>
          <w:ilvl w:val="0"/>
          <w:numId w:val="45"/>
        </w:numPr>
        <w:spacing w:after="0"/>
        <w:jc w:val="both"/>
        <w:rPr>
          <w:rFonts w:cs="Calibri"/>
          <w:b/>
          <w:lang w:val="el-GR"/>
        </w:rPr>
      </w:pPr>
      <w:r w:rsidRPr="00412F17">
        <w:rPr>
          <w:rFonts w:cs="Calibri"/>
          <w:b/>
          <w:lang w:val="el-GR"/>
        </w:rPr>
        <w:t xml:space="preserve"> Ηλιακή και αιολική  ενέργεια αποτελούν σήμερα βασική επιλογή  στον τομέα της ηλεκτροπαραγωγής. </w:t>
      </w:r>
      <w:r w:rsidRPr="00412F17">
        <w:rPr>
          <w:rFonts w:cs="Calibri"/>
          <w:lang w:val="el-GR"/>
        </w:rPr>
        <w:t xml:space="preserve">Πάνω από 90 χώρες έχουν  εγκαταστήσει περισσότερα από 1 </w:t>
      </w:r>
      <w:r w:rsidRPr="00412F17">
        <w:rPr>
          <w:rFonts w:cs="Calibri"/>
        </w:rPr>
        <w:t>GW</w:t>
      </w:r>
      <w:r w:rsidRPr="00412F17">
        <w:rPr>
          <w:rFonts w:cs="Calibri"/>
          <w:lang w:val="el-GR"/>
        </w:rPr>
        <w:t xml:space="preserve"> ανανεώσιμης ισχύος και 30 χώρες έχουν εγκαταστήσει περισσότερα από 10 </w:t>
      </w:r>
      <w:r w:rsidRPr="00412F17">
        <w:rPr>
          <w:rFonts w:cs="Calibri"/>
        </w:rPr>
        <w:t>GW</w:t>
      </w:r>
      <w:r w:rsidRPr="00412F17">
        <w:rPr>
          <w:rFonts w:cs="Calibri"/>
          <w:lang w:val="el-GR"/>
        </w:rPr>
        <w:t>. Τουλάχιστον εννέα χώρες παράγουν περισσότερο από το 20% της ηλεκτρικής τους ενέργειας από ηλιακή και αιολική ενέργεια. (Οι χώρες είναι: Δανία, Ουρουγουάη, Ιρλανδία, Γερμανία, Πορτογαλία, Ισπανία, Ελλάδα, Ηνωμένο Βασίλειο, Ονδούρα)</w:t>
      </w:r>
    </w:p>
    <w:p w:rsidR="00412F17" w:rsidRPr="00412F17" w:rsidRDefault="00412F17" w:rsidP="00412F17">
      <w:pPr>
        <w:pStyle w:val="ListParagraph"/>
        <w:spacing w:after="0"/>
        <w:jc w:val="both"/>
        <w:rPr>
          <w:rFonts w:cs="Calibri"/>
          <w:b/>
          <w:lang w:val="el-GR"/>
        </w:rPr>
      </w:pPr>
    </w:p>
    <w:p w:rsidR="00412F17" w:rsidRPr="00412F17" w:rsidRDefault="00412F17" w:rsidP="00412F17">
      <w:pPr>
        <w:pStyle w:val="ListParagraph"/>
        <w:numPr>
          <w:ilvl w:val="0"/>
          <w:numId w:val="45"/>
        </w:numPr>
        <w:spacing w:after="0"/>
        <w:jc w:val="both"/>
        <w:rPr>
          <w:rFonts w:cs="Calibri"/>
          <w:lang w:val="el-GR"/>
        </w:rPr>
      </w:pPr>
      <w:r w:rsidRPr="00412F17">
        <w:rPr>
          <w:rFonts w:cs="Calibri"/>
          <w:b/>
          <w:lang w:val="el-GR"/>
        </w:rPr>
        <w:t xml:space="preserve"> Η παγκόσμια αύξηση ανανεώσιμης ενέργειας δεν εξαρτάται πλέον μόνο από μερικές χώρες. </w:t>
      </w:r>
      <w:r w:rsidRPr="00412F17">
        <w:rPr>
          <w:rFonts w:cs="Calibri"/>
          <w:lang w:val="el-GR"/>
        </w:rPr>
        <w:t>Το 2018, η παγκόσμια ανάπτυξη ανανεώσιμων πηγών ενέργειας συνέχισε να σταθεροποιείται συνολικά. Στην Ευρωπαϊκή Ένωση είναι ελαφρώς αυξημένη ενώ οι ετήσιες εγκαταστάσεις και  επενδύσεις στη Κίνας μειώθηκαν σε σχέση με το προηγούμενο έτος. Αυτό δείχνει ότι η ανανεώσιμη ενέργεια είναι μια ισχυρή, παγκόσμια δύναμη.</w:t>
      </w:r>
    </w:p>
    <w:p w:rsidR="00412F17" w:rsidRPr="00412F17" w:rsidRDefault="00412F17" w:rsidP="00412F17">
      <w:pPr>
        <w:pStyle w:val="ListParagraph"/>
        <w:rPr>
          <w:rFonts w:cs="Calibri"/>
          <w:lang w:val="el-GR"/>
        </w:rPr>
      </w:pPr>
    </w:p>
    <w:p w:rsidR="00412F17" w:rsidRPr="00412F17" w:rsidRDefault="00412F17" w:rsidP="00412F17">
      <w:pPr>
        <w:pStyle w:val="ListParagraph"/>
        <w:numPr>
          <w:ilvl w:val="0"/>
          <w:numId w:val="45"/>
        </w:numPr>
        <w:spacing w:after="0"/>
        <w:jc w:val="both"/>
        <w:rPr>
          <w:rFonts w:cs="Calibri"/>
          <w:lang w:val="el-GR"/>
        </w:rPr>
      </w:pPr>
      <w:r w:rsidRPr="00412F17">
        <w:rPr>
          <w:rFonts w:cs="Calibri"/>
          <w:lang w:val="el-GR"/>
        </w:rPr>
        <w:t xml:space="preserve"> </w:t>
      </w:r>
      <w:r w:rsidRPr="00412F17">
        <w:rPr>
          <w:rFonts w:cs="Calibri"/>
          <w:b/>
          <w:lang w:val="el-GR"/>
        </w:rPr>
        <w:t>Οι πόλεις γίνονται ολοένα και περισσότερο ισχυροί οδηγοί στην ανάπτυξη ανανεώσιμων πηγών ενέργειας</w:t>
      </w:r>
      <w:r w:rsidRPr="00412F17">
        <w:rPr>
          <w:rFonts w:cs="Calibri"/>
          <w:lang w:val="el-GR"/>
        </w:rPr>
        <w:t>, υιοθετώντας ορισμένους από τους πιο φιλόδοξους στόχους για τις ανανεώσιμες πηγές ενέργειας παγκοσμίως. Σε πολλές περιπτώσεις, αυτές οι δεσμεύσεις και οι δράσεις υπερέβησαν τις εθνικές και περιφερειακές πρωτοβουλίες. Περισσότερες από 100 πόλεις (από το Ναϊρόμπι/Κένυα και το Νταρ ες Σαλλάμ/Τανζανία έως το Όκλαντ/Νέα Ζηλανδία, την Στοκχόλμη/Σουηδία και το Σιάτλ/ΗΠΑ) χρησιμοποιούν τουλάχιστον 70% ηλεκτρικής ενέργειας από ανανεώσιμες πηγές, ενώ τουλάχιστον 50 πόλεις έχουν θέσει σε εφαρμογή στόχους για τις ανανεώσιμες πηγές ενέργειας που καλύπτουν ηλεκτρισμό, θέρμανση/ψύξη και μεταφορές.</w:t>
      </w:r>
    </w:p>
    <w:p w:rsidR="00412F17" w:rsidRPr="00412F17" w:rsidRDefault="00412F17" w:rsidP="00412F17">
      <w:pPr>
        <w:spacing w:after="0"/>
        <w:jc w:val="both"/>
        <w:rPr>
          <w:rFonts w:cs="Calibri"/>
          <w:lang w:val="el-GR"/>
        </w:rPr>
      </w:pPr>
    </w:p>
    <w:p w:rsidR="00412F17" w:rsidRPr="00BE09B7" w:rsidRDefault="00412F17" w:rsidP="00412F17">
      <w:pPr>
        <w:spacing w:after="0" w:line="240" w:lineRule="auto"/>
        <w:ind w:left="720"/>
        <w:jc w:val="both"/>
        <w:rPr>
          <w:rFonts w:cs="Calibri"/>
        </w:rPr>
      </w:pP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20.25pt;height:178.5pt;visibility:visible">
            <v:imagedata r:id="rId7" o:title=""/>
          </v:shape>
        </w:pict>
      </w:r>
    </w:p>
    <w:p w:rsidR="00412F17" w:rsidRPr="00BE09B7" w:rsidRDefault="00412F17" w:rsidP="00412F17">
      <w:pPr>
        <w:spacing w:after="0" w:line="240" w:lineRule="auto"/>
        <w:jc w:val="both"/>
        <w:rPr>
          <w:rFonts w:cs="Calibri"/>
          <w:sz w:val="4"/>
        </w:rPr>
      </w:pPr>
      <w:r w:rsidRPr="00BE09B7">
        <w:rPr>
          <w:rFonts w:cs="Calibri"/>
        </w:rPr>
        <w:t xml:space="preserve"> </w:t>
      </w:r>
    </w:p>
    <w:p w:rsidR="00412F17" w:rsidRPr="00BE09B7" w:rsidRDefault="00412F17" w:rsidP="00412F17">
      <w:pPr>
        <w:spacing w:after="0" w:line="240" w:lineRule="auto"/>
        <w:ind w:left="810"/>
        <w:jc w:val="both"/>
        <w:rPr>
          <w:rFonts w:cs="Calibri"/>
          <w:sz w:val="16"/>
        </w:rPr>
      </w:pPr>
      <w:r w:rsidRPr="00BE09B7">
        <w:rPr>
          <w:rFonts w:cs="Calibri"/>
          <w:sz w:val="16"/>
        </w:rPr>
        <w:t>Source: CDP.</w:t>
      </w:r>
    </w:p>
    <w:p w:rsidR="00412F17" w:rsidRPr="00412F17" w:rsidRDefault="00412F17" w:rsidP="00412F17">
      <w:pPr>
        <w:spacing w:after="0" w:line="240" w:lineRule="auto"/>
        <w:jc w:val="both"/>
        <w:rPr>
          <w:rFonts w:cs="Calibri"/>
          <w:lang w:val="el-GR"/>
        </w:rPr>
      </w:pPr>
    </w:p>
    <w:p w:rsidR="00412F17" w:rsidRPr="00412F17" w:rsidRDefault="00412F17" w:rsidP="00412F17">
      <w:pPr>
        <w:spacing w:after="0" w:line="240" w:lineRule="auto"/>
        <w:jc w:val="both"/>
        <w:rPr>
          <w:rFonts w:cs="Calibri"/>
          <w:b/>
          <w:lang w:val="el-GR"/>
        </w:rPr>
      </w:pPr>
      <w:r w:rsidRPr="00412F17">
        <w:rPr>
          <w:rFonts w:cs="Calibri"/>
          <w:lang w:val="el-GR"/>
        </w:rPr>
        <w:t xml:space="preserve"> </w:t>
      </w:r>
    </w:p>
    <w:p w:rsidR="00412F17" w:rsidRPr="00412F17" w:rsidRDefault="00412F17" w:rsidP="00412F17">
      <w:pPr>
        <w:spacing w:after="0"/>
        <w:jc w:val="both"/>
        <w:rPr>
          <w:rFonts w:cs="Calibri"/>
          <w:lang w:val="el-GR"/>
        </w:rPr>
      </w:pPr>
      <w:r w:rsidRPr="00412F17">
        <w:rPr>
          <w:rFonts w:cs="Calibri"/>
          <w:b/>
          <w:lang w:val="el-GR"/>
        </w:rPr>
        <w:t>Υπάρχει μια τεράστια ευκαιρία για τις χώρες να διευρύνουν τη μετάβαση στους τομείς θέρμανσης, ψύξης και μεταφορών.</w:t>
      </w:r>
      <w:r w:rsidRPr="00412F17">
        <w:rPr>
          <w:rFonts w:cs="Calibri"/>
          <w:lang w:val="el-GR"/>
        </w:rPr>
        <w:t xml:space="preserve"> Οι ανανεώσιμες πηγές ενέργειας παρέχουν περισσότερο από </w:t>
      </w:r>
      <w:r w:rsidRPr="00412F17">
        <w:rPr>
          <w:rFonts w:cs="Calibri"/>
          <w:lang w:val="el-GR"/>
        </w:rPr>
        <w:lastRenderedPageBreak/>
        <w:t xml:space="preserve">το 26% της παγκόσμιας ηλεκτρικής ενέργειας, ωστόσο παρέχουν μόνο το 10% της ενέργειας που χρησιμοποιείται για τη θέρμανση και την ψύξη και λίγο περισσότερο από το 3% για τις μεταφορές. </w:t>
      </w:r>
      <w:r w:rsidRPr="00412F17">
        <w:rPr>
          <w:rFonts w:cs="Calibri"/>
          <w:b/>
          <w:lang w:val="el-GR"/>
        </w:rPr>
        <w:t>Αυτή η ανισορροπία μεταξύ των τομέων οφείλεται σε μεγάλο βαθμό στην ανεπαρκή ή ασταθή πολιτική στήριξη.</w:t>
      </w:r>
      <w:r w:rsidRPr="00412F17">
        <w:rPr>
          <w:rFonts w:cs="Calibri"/>
          <w:lang w:val="el-GR"/>
        </w:rPr>
        <w:t xml:space="preserve"> Ο αριθμός των χωρών με πολιτική ανανεώσιμων πηγών στη θέρμανση μειώθηκε.</w:t>
      </w:r>
    </w:p>
    <w:p w:rsidR="00412F17" w:rsidRPr="00412F17" w:rsidRDefault="00412F17" w:rsidP="00412F17">
      <w:pPr>
        <w:spacing w:after="0"/>
        <w:jc w:val="both"/>
        <w:rPr>
          <w:rFonts w:cs="Calibri"/>
          <w:lang w:val="el-GR"/>
        </w:rPr>
      </w:pPr>
    </w:p>
    <w:p w:rsidR="00412F17" w:rsidRPr="00412F17" w:rsidRDefault="00412F17" w:rsidP="00412F17">
      <w:pPr>
        <w:spacing w:after="0"/>
        <w:jc w:val="both"/>
        <w:rPr>
          <w:rFonts w:cs="Calibri"/>
          <w:lang w:val="el-GR"/>
        </w:rPr>
      </w:pPr>
      <w:r w:rsidRPr="00412F17">
        <w:rPr>
          <w:rFonts w:cs="Calibri"/>
          <w:lang w:val="el-GR"/>
        </w:rPr>
        <w:t xml:space="preserve">Παρά την ανεπαρκή υποστήριξη, υλοποιούνται πρωτοβουλίες στους τομείς των μεταφορών, της θέρμανσης και της ψύξης. Τα αειφόρα βιοκαύσιμα, τα ηλεκτρικά οχήματα και οι πολιτικές οικονομίας καυσίμου μειώνουν τη συνολική εξάρτηση από ορυκτά καύσιμα στον τομέα των μεταφορών. Οι φιλόδοξες πολιτικές, όπως η εντολή ανάμειξης 27% για την αιθανόλη της Βραζιλίας και το Πρότυπο Πρόγραμμα Καυσίμων της Καλιφόρνια (ΗΠΑ), καταδεικνύουν τη συμβολή των ανανεώσιμων πηγών ενέργειας στον τομέα των μεταφορών. Οι πολιτικές θέρμανσης και ψύξης περιλαμβάνουν τους κώδικες ενεργειακών κτιρίων και τα κίνητρα για ανανεώσιμες πηγές θερμότητας. </w:t>
      </w:r>
      <w:r w:rsidRPr="00412F17">
        <w:rPr>
          <w:rFonts w:cs="Calibri"/>
          <w:b/>
          <w:lang w:val="el-GR"/>
        </w:rPr>
        <w:t>Η τιμολόγηση του άνθρακα παραμένει έντονα ανεπαρκώς αξιοποιημένη.</w:t>
      </w:r>
      <w:r w:rsidRPr="00412F17">
        <w:rPr>
          <w:rFonts w:cs="Calibri"/>
          <w:lang w:val="el-GR"/>
        </w:rPr>
        <w:t xml:space="preserve"> Μέχρι το τέλος του 2018, μόνο 44 εθνικές κυβερνήσεις, 21 πολιτείες/περιφέρειες και 7 πόλεις είχαν εφαρμόσει πολιτικές τιμολόγησης άνθρακα, καλύπτοντας μόνο το 13% των παγκόσμιων εκπομπών </w:t>
      </w:r>
      <w:r w:rsidRPr="00412F17">
        <w:rPr>
          <w:rFonts w:cs="Calibri"/>
        </w:rPr>
        <w:t>CO</w:t>
      </w:r>
      <w:r w:rsidRPr="00412F17">
        <w:rPr>
          <w:rFonts w:cs="Calibri"/>
          <w:lang w:val="el-GR"/>
        </w:rPr>
        <w:t xml:space="preserve">2. </w:t>
      </w:r>
    </w:p>
    <w:p w:rsidR="00412F17" w:rsidRPr="00412F17" w:rsidRDefault="00412F17" w:rsidP="00412F17">
      <w:pPr>
        <w:spacing w:after="0"/>
        <w:jc w:val="both"/>
        <w:rPr>
          <w:rFonts w:cs="Calibri"/>
          <w:lang w:val="el-GR"/>
        </w:rPr>
      </w:pPr>
    </w:p>
    <w:p w:rsidR="00412F17" w:rsidRPr="00412F17" w:rsidRDefault="00412F17" w:rsidP="00412F17">
      <w:pPr>
        <w:spacing w:after="0"/>
        <w:jc w:val="both"/>
        <w:rPr>
          <w:rFonts w:cs="Calibri"/>
          <w:lang w:val="el-GR"/>
        </w:rPr>
      </w:pPr>
      <w:r w:rsidRPr="00412F17">
        <w:rPr>
          <w:rFonts w:cs="Calibri"/>
          <w:lang w:val="el-GR"/>
        </w:rPr>
        <w:t>"Με τις  χώρες να πρέπει να επανέλθουν με πιο φιλόδοξους κλιματικούς στόχους το 2020, αυτή η έκθεση δείχνει ότι υπάρχουν πολλές ευκαιρίες για την αύξηση της δράσης και τη βελτίωση της ζωής των ανθρώπων με την επέκταση των πλεονεκτημάτων της ενεργειακής μετάβασης σε ολόκληρη την οικονομία", λέει ο πρόεδρος της REN21, Αρθούρος Ζερβός.</w:t>
      </w:r>
    </w:p>
    <w:p w:rsidR="00412F17" w:rsidRPr="00412F17" w:rsidRDefault="00412F17" w:rsidP="00412F17">
      <w:pPr>
        <w:spacing w:after="0"/>
        <w:jc w:val="both"/>
        <w:rPr>
          <w:rFonts w:cs="Calibri"/>
          <w:lang w:val="el-GR"/>
        </w:rPr>
      </w:pPr>
    </w:p>
    <w:p w:rsidR="00412F17" w:rsidRPr="00412F17" w:rsidRDefault="00412F17" w:rsidP="00412F17">
      <w:pPr>
        <w:spacing w:after="0"/>
        <w:jc w:val="both"/>
        <w:rPr>
          <w:rFonts w:cs="Calibri"/>
          <w:b/>
          <w:lang w:val="el-GR"/>
        </w:rPr>
      </w:pPr>
      <w:r w:rsidRPr="00412F17">
        <w:rPr>
          <w:rFonts w:cs="Calibri"/>
          <w:b/>
          <w:lang w:val="el-GR"/>
        </w:rPr>
        <w:t>Σχετικά με την Έκθεση για την Παγκόσμια Κατάσταση Ανανεώσιμων Πηγών (</w:t>
      </w:r>
      <w:r w:rsidRPr="00412F17">
        <w:rPr>
          <w:rFonts w:cs="Calibri"/>
          <w:b/>
        </w:rPr>
        <w:t>GSR</w:t>
      </w:r>
      <w:r w:rsidRPr="00412F17">
        <w:rPr>
          <w:rFonts w:cs="Calibri"/>
          <w:b/>
          <w:lang w:val="el-GR"/>
        </w:rPr>
        <w:t>)</w:t>
      </w:r>
    </w:p>
    <w:p w:rsidR="00412F17" w:rsidRPr="00412F17" w:rsidRDefault="00412F17" w:rsidP="00412F17">
      <w:pPr>
        <w:spacing w:after="0"/>
        <w:jc w:val="both"/>
        <w:rPr>
          <w:rFonts w:cs="Calibri"/>
          <w:b/>
          <w:lang w:val="el-GR"/>
        </w:rPr>
      </w:pPr>
    </w:p>
    <w:p w:rsidR="00412F17" w:rsidRPr="00412F17" w:rsidRDefault="00412F17" w:rsidP="00412F17">
      <w:pPr>
        <w:spacing w:after="0"/>
        <w:jc w:val="both"/>
        <w:rPr>
          <w:rFonts w:cs="Calibri"/>
          <w:lang w:val="el-GR"/>
        </w:rPr>
      </w:pPr>
      <w:r w:rsidRPr="00412F17">
        <w:rPr>
          <w:rFonts w:cs="Calibri"/>
          <w:lang w:val="el-GR"/>
        </w:rPr>
        <w:t xml:space="preserve"> Η έκθεση </w:t>
      </w:r>
      <w:r w:rsidRPr="00412F17">
        <w:rPr>
          <w:rFonts w:cs="Calibri"/>
        </w:rPr>
        <w:t>GSR</w:t>
      </w:r>
      <w:r w:rsidRPr="00412F17">
        <w:rPr>
          <w:rFonts w:cs="Calibri"/>
          <w:lang w:val="el-GR"/>
        </w:rPr>
        <w:t xml:space="preserve">, που δημοσιεύθηκε για πρώτη φορά το 2005, παρέχει μια συνολική εικόνα του τι συμβαίνει στον τομέα των ανανεώσιμων πηγών ενέργειας. Η φετινή έκθεση επικεντρώνεται στις εξελίξεις και τις τάσεις του 2018 στις αγορές, επενδύσεις και πολιτικές παγκοσμίως. Τώρα στο 15ο έτος, η ετήσια έκθεση έχει καταστεί πρότυπο για τις ανανεώσιμες πηγές ενέργειας. Βασίζεται σε δεδομένα και πληροφορίες που παρέχονται από το δίκτυο </w:t>
      </w:r>
      <w:r w:rsidRPr="00412F17">
        <w:rPr>
          <w:rFonts w:cs="Calibri"/>
        </w:rPr>
        <w:t>REN</w:t>
      </w:r>
      <w:r w:rsidRPr="00412F17">
        <w:rPr>
          <w:rFonts w:cs="Calibri"/>
          <w:lang w:val="el-GR"/>
        </w:rPr>
        <w:t>21 με περισσότερους από 900 συνεργάτες παγκοσμίως. Συλλογικά, οι πληροφορίες χρησιμοποιούνται για τη διαμόρφωση συζητήσεων για την ώθηση της σκέψης και της δράσης για τις ανανεώσιμες πηγές ενέργειας.</w:t>
      </w:r>
    </w:p>
    <w:p w:rsidR="00412F17" w:rsidRPr="00412F17" w:rsidRDefault="00412F17" w:rsidP="00412F17">
      <w:pPr>
        <w:pStyle w:val="BodyA"/>
        <w:widowControl w:val="0"/>
        <w:suppressAutoHyphens/>
        <w:spacing w:after="0" w:line="240" w:lineRule="auto"/>
        <w:jc w:val="both"/>
        <w:rPr>
          <w:rFonts w:hAnsi="Calibri" w:cs="Calibri Light"/>
          <w:lang w:val="el-GR"/>
        </w:rPr>
      </w:pPr>
    </w:p>
    <w:p w:rsidR="00412F17" w:rsidRPr="00412F17" w:rsidRDefault="00412F17" w:rsidP="00412F17">
      <w:pPr>
        <w:pStyle w:val="BodyA"/>
        <w:widowControl w:val="0"/>
        <w:suppressAutoHyphens/>
        <w:spacing w:after="0" w:line="240" w:lineRule="auto"/>
        <w:jc w:val="both"/>
        <w:rPr>
          <w:rFonts w:hAnsi="Calibri" w:cs="Calibri Light"/>
          <w:lang w:val="el-GR"/>
        </w:rPr>
      </w:pPr>
    </w:p>
    <w:p w:rsidR="00412F17" w:rsidRPr="00412F17" w:rsidRDefault="00412F17" w:rsidP="00412F17">
      <w:pPr>
        <w:pStyle w:val="BodyA"/>
        <w:widowControl w:val="0"/>
        <w:suppressAutoHyphens/>
        <w:spacing w:after="0" w:line="240" w:lineRule="auto"/>
        <w:jc w:val="both"/>
        <w:rPr>
          <w:rFonts w:hAnsi="Calibri" w:cs="Calibri Light"/>
          <w:lang w:val="el-GR"/>
        </w:rPr>
      </w:pPr>
      <w:r w:rsidRPr="00412F17">
        <w:rPr>
          <w:rFonts w:hAnsi="Calibri" w:cs="Calibri Light"/>
          <w:lang w:val="el-GR"/>
        </w:rPr>
        <w:t>Αυτό το δελτίο τύπου είναι επίσης διαθέσιμο στα αγγλικά, ισπανικά, γαλλικά και κινεζικά.</w:t>
      </w:r>
    </w:p>
    <w:p w:rsidR="00412F17" w:rsidRPr="00412F17" w:rsidRDefault="00412F17" w:rsidP="00412F17">
      <w:pPr>
        <w:pStyle w:val="BodyA"/>
        <w:widowControl w:val="0"/>
        <w:suppressAutoHyphens/>
        <w:spacing w:after="0" w:line="240" w:lineRule="auto"/>
        <w:jc w:val="both"/>
        <w:rPr>
          <w:rFonts w:hAnsi="Calibri" w:cs="Calibri Light"/>
          <w:b/>
          <w:bCs/>
          <w:lang w:val="el-GR"/>
        </w:rPr>
      </w:pPr>
    </w:p>
    <w:p w:rsidR="00412F17" w:rsidRPr="00412F17" w:rsidRDefault="00412F17" w:rsidP="00412F17">
      <w:pPr>
        <w:pStyle w:val="BodyA"/>
        <w:widowControl w:val="0"/>
        <w:suppressAutoHyphens/>
        <w:spacing w:after="100" w:afterAutospacing="1" w:line="240" w:lineRule="auto"/>
        <w:jc w:val="both"/>
        <w:rPr>
          <w:rFonts w:hAnsi="Calibri" w:cs="Calibri Light"/>
          <w:b/>
          <w:bCs/>
          <w:lang w:val="en-US"/>
        </w:rPr>
      </w:pPr>
      <w:r w:rsidRPr="00412F17">
        <w:rPr>
          <w:rFonts w:hAnsi="Calibri" w:cs="Calibri Light"/>
          <w:b/>
          <w:bCs/>
          <w:lang w:val="el-GR"/>
        </w:rPr>
        <w:t>Εκπρόσωπος</w:t>
      </w:r>
      <w:r w:rsidRPr="00412F17">
        <w:rPr>
          <w:rFonts w:hAnsi="Calibri" w:cs="Calibri Light"/>
          <w:b/>
          <w:bCs/>
          <w:lang w:val="en-US"/>
        </w:rPr>
        <w:t xml:space="preserve"> </w:t>
      </w:r>
      <w:r w:rsidRPr="00412F17">
        <w:rPr>
          <w:rFonts w:hAnsi="Calibri" w:cs="Calibri Light"/>
          <w:b/>
          <w:bCs/>
          <w:lang w:val="el-GR"/>
        </w:rPr>
        <w:t>Τύπου</w:t>
      </w:r>
      <w:r w:rsidRPr="00412F17">
        <w:rPr>
          <w:rFonts w:hAnsi="Calibri" w:cs="Calibri Light"/>
          <w:b/>
          <w:bCs/>
          <w:lang w:val="en-US"/>
        </w:rPr>
        <w:t xml:space="preserve"> </w:t>
      </w:r>
    </w:p>
    <w:p w:rsidR="00412F17" w:rsidRPr="00412F17" w:rsidRDefault="00412F17" w:rsidP="00412F17">
      <w:pPr>
        <w:pStyle w:val="BodyA"/>
        <w:widowControl w:val="0"/>
        <w:suppressAutoHyphens/>
        <w:spacing w:after="0" w:line="240" w:lineRule="auto"/>
        <w:jc w:val="both"/>
        <w:rPr>
          <w:rStyle w:val="Hyperlink"/>
          <w:rFonts w:hAnsi="Calibri" w:cs="Calibri Light"/>
          <w:lang w:val="en-US"/>
        </w:rPr>
      </w:pPr>
      <w:r w:rsidRPr="00412F17">
        <w:rPr>
          <w:rFonts w:hAnsi="Calibri" w:cs="Calibri Light"/>
          <w:lang w:val="en-US"/>
        </w:rPr>
        <w:t xml:space="preserve">Laura Williamson, Communication and Outreach Manager (+33 6 03 06 02 58) </w:t>
      </w:r>
      <w:hyperlink r:id="rId8" w:history="1">
        <w:r w:rsidRPr="00412F17">
          <w:rPr>
            <w:rStyle w:val="Hyperlink"/>
            <w:rFonts w:hAnsi="Calibri" w:cs="Calibri Light"/>
            <w:lang w:val="en-US"/>
          </w:rPr>
          <w:t>communication@ren21.net</w:t>
        </w:r>
      </w:hyperlink>
    </w:p>
    <w:p w:rsidR="00781CF5" w:rsidRPr="00BE09B7" w:rsidRDefault="00781CF5" w:rsidP="00AA7969">
      <w:pPr>
        <w:spacing w:after="0"/>
        <w:jc w:val="both"/>
        <w:rPr>
          <w:rFonts w:cs="Calibri"/>
        </w:rPr>
      </w:pPr>
      <w:bookmarkStart w:id="2" w:name="_GoBack"/>
      <w:bookmarkEnd w:id="2"/>
    </w:p>
    <w:sectPr w:rsidR="00781CF5" w:rsidRPr="00BE09B7" w:rsidSect="008D30AF">
      <w:headerReference w:type="default"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39" w:rsidRDefault="005A7439" w:rsidP="004B1806">
      <w:pPr>
        <w:spacing w:after="0" w:line="240" w:lineRule="auto"/>
      </w:pPr>
      <w:r>
        <w:separator/>
      </w:r>
    </w:p>
  </w:endnote>
  <w:endnote w:type="continuationSeparator" w:id="0">
    <w:p w:rsidR="005A7439" w:rsidRDefault="005A7439" w:rsidP="004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F5" w:rsidRDefault="00781CF5" w:rsidP="003529E2">
    <w:pPr>
      <w:pStyle w:val="Footer"/>
    </w:pPr>
    <w:r>
      <w:t xml:space="preserve">Page | </w:t>
    </w:r>
    <w:r>
      <w:fldChar w:fldCharType="begin"/>
    </w:r>
    <w:r>
      <w:instrText xml:space="preserve"> PAGE   \* MERGEFORMAT </w:instrText>
    </w:r>
    <w:r>
      <w:fldChar w:fldCharType="separate"/>
    </w:r>
    <w:r w:rsidR="00412F17">
      <w:rPr>
        <w:noProof/>
      </w:rPr>
      <w:t>3</w:t>
    </w:r>
    <w:r>
      <w:fldChar w:fldCharType="end"/>
    </w:r>
    <w:r>
      <w:rPr>
        <w:noProof/>
      </w:rPr>
      <w:t xml:space="preserve">                                                                                                                                     </w:t>
    </w:r>
    <w:r w:rsidR="005A74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33pt">
          <v:imagedata r:id="rId1" o:title=""/>
        </v:shape>
      </w:pict>
    </w:r>
    <w:r>
      <w:rPr>
        <w:noProof/>
      </w:rPr>
      <w:t xml:space="preserve">            </w:t>
    </w:r>
  </w:p>
  <w:p w:rsidR="00781CF5" w:rsidRPr="0052639C" w:rsidRDefault="00781CF5">
    <w:pPr>
      <w:pStyle w:val="Footer"/>
      <w:rPr>
        <w:sz w:val="2"/>
        <w:szCs w:val="2"/>
      </w:rPr>
    </w:pPr>
    <w:r>
      <w:rPr>
        <w:sz w:val="2"/>
        <w:szCs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2" w:type="dxa"/>
      <w:tblLook w:val="00A0" w:firstRow="1" w:lastRow="0" w:firstColumn="1" w:lastColumn="0" w:noHBand="0" w:noVBand="0"/>
    </w:tblPr>
    <w:tblGrid>
      <w:gridCol w:w="4793"/>
      <w:gridCol w:w="5289"/>
    </w:tblGrid>
    <w:tr w:rsidR="00781CF5" w:rsidRPr="00BE09B7" w:rsidTr="00BE09B7">
      <w:trPr>
        <w:trHeight w:val="24"/>
      </w:trPr>
      <w:tc>
        <w:tcPr>
          <w:tcW w:w="4793" w:type="dxa"/>
          <w:tcBorders>
            <w:right w:val="single" w:sz="12" w:space="0" w:color="FFC000"/>
          </w:tcBorders>
          <w:shd w:val="clear" w:color="auto" w:fill="FFFFFF"/>
          <w:tcMar>
            <w:left w:w="144" w:type="dxa"/>
            <w:right w:w="144" w:type="dxa"/>
          </w:tcMar>
        </w:tcPr>
        <w:p w:rsidR="00781CF5" w:rsidRPr="00BE09B7" w:rsidRDefault="005A7439" w:rsidP="00BE09B7">
          <w:pPr>
            <w:spacing w:after="0"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31.5pt">
                <v:imagedata r:id="rId1" o:title=""/>
              </v:shape>
            </w:pict>
          </w:r>
        </w:p>
        <w:p w:rsidR="00781CF5" w:rsidRPr="00BE09B7" w:rsidRDefault="00781CF5" w:rsidP="00BE09B7">
          <w:pPr>
            <w:spacing w:after="0" w:line="240" w:lineRule="auto"/>
          </w:pPr>
        </w:p>
      </w:tc>
      <w:tc>
        <w:tcPr>
          <w:tcW w:w="5289" w:type="dxa"/>
          <w:tcBorders>
            <w:left w:val="single" w:sz="12" w:space="0" w:color="FFC000"/>
          </w:tcBorders>
          <w:shd w:val="clear" w:color="auto" w:fill="FFFFFF"/>
          <w:tcMar>
            <w:left w:w="144" w:type="dxa"/>
            <w:right w:w="144" w:type="dxa"/>
          </w:tcMar>
        </w:tcPr>
        <w:p w:rsidR="00781CF5" w:rsidRPr="00BE09B7" w:rsidRDefault="00781CF5" w:rsidP="00BE09B7">
          <w:pPr>
            <w:spacing w:after="0" w:line="240" w:lineRule="auto"/>
            <w:rPr>
              <w:rFonts w:ascii="Tahoma" w:hAnsi="Tahoma" w:cs="Tahoma"/>
              <w:b/>
              <w:bCs/>
              <w:sz w:val="18"/>
              <w:szCs w:val="16"/>
              <w:lang w:val="fr-FR"/>
            </w:rPr>
          </w:pPr>
          <w:r w:rsidRPr="00BE09B7">
            <w:rPr>
              <w:rFonts w:ascii="Tahoma" w:hAnsi="Tahoma" w:cs="Tahoma"/>
              <w:b/>
              <w:bCs/>
              <w:sz w:val="18"/>
              <w:szCs w:val="16"/>
              <w:lang w:val="fr-FR"/>
            </w:rPr>
            <w:t>REN21 Secretariat</w:t>
          </w:r>
        </w:p>
        <w:p w:rsidR="00781CF5" w:rsidRPr="00BE09B7" w:rsidRDefault="00781CF5" w:rsidP="00BE09B7">
          <w:pPr>
            <w:spacing w:after="0" w:line="240" w:lineRule="auto"/>
            <w:rPr>
              <w:rFonts w:ascii="Tahoma" w:hAnsi="Tahoma" w:cs="Tahoma"/>
              <w:b/>
              <w:bCs/>
              <w:sz w:val="8"/>
              <w:szCs w:val="8"/>
              <w:lang w:val="fr-FR"/>
            </w:rPr>
          </w:pPr>
        </w:p>
        <w:p w:rsidR="00781CF5" w:rsidRPr="00BE09B7" w:rsidRDefault="00781CF5" w:rsidP="00BE09B7">
          <w:pPr>
            <w:spacing w:after="0" w:line="240" w:lineRule="auto"/>
            <w:rPr>
              <w:rFonts w:ascii="Tahoma" w:hAnsi="Tahoma" w:cs="Tahoma"/>
              <w:bCs/>
              <w:sz w:val="16"/>
              <w:szCs w:val="16"/>
              <w:lang w:val="fr-FR"/>
            </w:rPr>
          </w:pPr>
          <w:r w:rsidRPr="00BE09B7">
            <w:rPr>
              <w:rFonts w:ascii="Tahoma" w:hAnsi="Tahoma" w:cs="Tahoma"/>
              <w:bCs/>
              <w:sz w:val="16"/>
              <w:szCs w:val="16"/>
              <w:lang w:val="fr-FR"/>
            </w:rPr>
            <w:t>c/o UN Environment</w:t>
          </w:r>
        </w:p>
        <w:p w:rsidR="00781CF5" w:rsidRPr="00BE09B7" w:rsidRDefault="00781CF5" w:rsidP="00BE09B7">
          <w:pPr>
            <w:spacing w:after="0" w:line="240" w:lineRule="auto"/>
            <w:rPr>
              <w:rFonts w:ascii="Tahoma" w:hAnsi="Tahoma" w:cs="Tahoma"/>
              <w:bCs/>
              <w:sz w:val="8"/>
              <w:szCs w:val="8"/>
              <w:lang w:val="fr-FR"/>
            </w:rPr>
          </w:pPr>
        </w:p>
        <w:p w:rsidR="00781CF5" w:rsidRPr="00BE09B7" w:rsidRDefault="00781CF5" w:rsidP="00BE09B7">
          <w:pPr>
            <w:spacing w:after="0" w:line="240" w:lineRule="auto"/>
            <w:rPr>
              <w:rFonts w:ascii="Tahoma" w:hAnsi="Tahoma" w:cs="Tahoma"/>
              <w:bCs/>
              <w:sz w:val="16"/>
              <w:szCs w:val="16"/>
              <w:lang w:val="en-GB"/>
            </w:rPr>
          </w:pPr>
          <w:r w:rsidRPr="00BE09B7">
            <w:rPr>
              <w:rFonts w:ascii="Tahoma" w:hAnsi="Tahoma" w:cs="Tahoma"/>
              <w:bCs/>
              <w:sz w:val="16"/>
              <w:szCs w:val="16"/>
              <w:lang w:val="en-GB"/>
            </w:rPr>
            <w:t xml:space="preserve">1 rue Miollis • Building VII • 75015 Paris • France </w:t>
          </w:r>
        </w:p>
        <w:p w:rsidR="00781CF5" w:rsidRPr="00BE09B7" w:rsidRDefault="00781CF5" w:rsidP="00BE09B7">
          <w:pPr>
            <w:spacing w:after="0" w:line="240" w:lineRule="auto"/>
            <w:rPr>
              <w:rFonts w:ascii="Tahoma" w:hAnsi="Tahoma" w:cs="Tahoma"/>
              <w:bCs/>
              <w:sz w:val="16"/>
              <w:szCs w:val="16"/>
              <w:lang w:val="en-GB"/>
            </w:rPr>
          </w:pPr>
          <w:r w:rsidRPr="00BE09B7">
            <w:rPr>
              <w:rFonts w:ascii="Tahoma" w:hAnsi="Tahoma" w:cs="Tahoma"/>
              <w:bCs/>
              <w:sz w:val="16"/>
              <w:szCs w:val="16"/>
              <w:lang w:val="en-GB"/>
            </w:rPr>
            <w:t>Tel: +33 1 44 37 50 90 • Fax: +33 1 44 37 14 74</w:t>
          </w:r>
        </w:p>
        <w:p w:rsidR="00781CF5" w:rsidRPr="00BE09B7" w:rsidRDefault="00781CF5" w:rsidP="00BE09B7">
          <w:pPr>
            <w:spacing w:after="0" w:line="240" w:lineRule="auto"/>
            <w:rPr>
              <w:rFonts w:ascii="Tahoma" w:hAnsi="Tahoma" w:cs="Tahoma"/>
              <w:bCs/>
              <w:sz w:val="18"/>
              <w:szCs w:val="16"/>
            </w:rPr>
          </w:pPr>
          <w:r w:rsidRPr="00BE09B7">
            <w:rPr>
              <w:rFonts w:ascii="Tahoma" w:hAnsi="Tahoma" w:cs="Tahoma"/>
              <w:bCs/>
              <w:sz w:val="16"/>
              <w:szCs w:val="16"/>
              <w:lang w:val="en-GB"/>
            </w:rPr>
            <w:t>secretariat@ren21.net • www.</w:t>
          </w:r>
          <w:r w:rsidRPr="00BE09B7">
            <w:rPr>
              <w:rFonts w:ascii="Tahoma" w:hAnsi="Tahoma" w:cs="Tahoma"/>
              <w:bCs/>
              <w:sz w:val="16"/>
              <w:szCs w:val="16"/>
            </w:rPr>
            <w:t>ren21.net</w:t>
          </w:r>
          <w:r w:rsidRPr="00BE09B7">
            <w:rPr>
              <w:rFonts w:ascii="Tahoma" w:hAnsi="Tahoma" w:cs="Tahoma"/>
              <w:bCs/>
              <w:sz w:val="18"/>
              <w:szCs w:val="16"/>
            </w:rPr>
            <w:t xml:space="preserve"> </w:t>
          </w:r>
        </w:p>
      </w:tc>
    </w:tr>
  </w:tbl>
  <w:p w:rsidR="00781CF5" w:rsidRPr="0052639C" w:rsidRDefault="00781CF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39" w:rsidRDefault="005A7439" w:rsidP="004B1806">
      <w:pPr>
        <w:spacing w:after="0" w:line="240" w:lineRule="auto"/>
      </w:pPr>
      <w:r>
        <w:separator/>
      </w:r>
    </w:p>
  </w:footnote>
  <w:footnote w:type="continuationSeparator" w:id="0">
    <w:p w:rsidR="005A7439" w:rsidRDefault="005A7439" w:rsidP="004B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F5" w:rsidRPr="004B1806" w:rsidRDefault="00781CF5" w:rsidP="00E007DD">
    <w:pPr>
      <w:spacing w:after="0" w:line="240" w:lineRule="auto"/>
      <w:jc w:val="center"/>
      <w:rPr>
        <w:rFonts w:ascii="Tahoma" w:hAnsi="Tahoma" w:cs="Tahoma"/>
        <w:b/>
        <w:bCs/>
        <w:sz w:val="16"/>
        <w:szCs w:val="16"/>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F5" w:rsidRDefault="005A7439" w:rsidP="00282C1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25pt;height:81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7BE"/>
    <w:multiLevelType w:val="hybridMultilevel"/>
    <w:tmpl w:val="77185D42"/>
    <w:lvl w:ilvl="0" w:tplc="5BC29AB8">
      <w:start w:val="3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D84"/>
    <w:multiLevelType w:val="hybridMultilevel"/>
    <w:tmpl w:val="1ACA33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893051"/>
    <w:multiLevelType w:val="hybridMultilevel"/>
    <w:tmpl w:val="96A479DC"/>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0B3B012B"/>
    <w:multiLevelType w:val="hybridMultilevel"/>
    <w:tmpl w:val="EBA4712E"/>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0C431462"/>
    <w:multiLevelType w:val="hybridMultilevel"/>
    <w:tmpl w:val="6CB87146"/>
    <w:lvl w:ilvl="0" w:tplc="5BC29AB8">
      <w:start w:val="31"/>
      <w:numFmt w:val="bullet"/>
      <w:lvlText w:val="-"/>
      <w:lvlJc w:val="left"/>
      <w:pPr>
        <w:ind w:left="1004" w:hanging="360"/>
      </w:pPr>
      <w:rPr>
        <w:rFonts w:ascii="Calibri" w:eastAsia="Times New Roman" w:hAnsi="Calibr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0FB131C"/>
    <w:multiLevelType w:val="hybridMultilevel"/>
    <w:tmpl w:val="BE347B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58A7372"/>
    <w:multiLevelType w:val="hybridMultilevel"/>
    <w:tmpl w:val="A22039A6"/>
    <w:lvl w:ilvl="0" w:tplc="0409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9266EA8"/>
    <w:multiLevelType w:val="hybridMultilevel"/>
    <w:tmpl w:val="CFF22AF0"/>
    <w:lvl w:ilvl="0" w:tplc="38AA21C2">
      <w:start w:val="1"/>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D6685"/>
    <w:multiLevelType w:val="hybridMultilevel"/>
    <w:tmpl w:val="91B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E63FA"/>
    <w:multiLevelType w:val="hybridMultilevel"/>
    <w:tmpl w:val="64884052"/>
    <w:lvl w:ilvl="0" w:tplc="5BC29AB8">
      <w:start w:val="31"/>
      <w:numFmt w:val="bullet"/>
      <w:lvlText w:val="-"/>
      <w:lvlJc w:val="left"/>
      <w:pPr>
        <w:ind w:left="1050" w:hanging="360"/>
      </w:pPr>
      <w:rPr>
        <w:rFonts w:ascii="Calibri" w:eastAsia="Times New Roman" w:hAnsi="Calibri"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26E6022F"/>
    <w:multiLevelType w:val="hybridMultilevel"/>
    <w:tmpl w:val="CB0C0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987B9B"/>
    <w:multiLevelType w:val="hybridMultilevel"/>
    <w:tmpl w:val="587C17A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F46526"/>
    <w:multiLevelType w:val="hybridMultilevel"/>
    <w:tmpl w:val="FB9AE4C6"/>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15:restartNumberingAfterBreak="0">
    <w:nsid w:val="291D0431"/>
    <w:multiLevelType w:val="hybridMultilevel"/>
    <w:tmpl w:val="DB025F08"/>
    <w:lvl w:ilvl="0" w:tplc="0409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3CE69C30">
      <w:numFmt w:val="bullet"/>
      <w:lvlText w:val="-"/>
      <w:lvlJc w:val="left"/>
      <w:pPr>
        <w:ind w:left="3600" w:hanging="360"/>
      </w:pPr>
      <w:rPr>
        <w:rFonts w:ascii="Times New Roman" w:eastAsia="SimSun" w:hAnsi="Times New Roma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C78EF"/>
    <w:multiLevelType w:val="hybridMultilevel"/>
    <w:tmpl w:val="95BAAD98"/>
    <w:lvl w:ilvl="0" w:tplc="3B78B2DA">
      <w:start w:val="1"/>
      <w:numFmt w:val="lowerRoman"/>
      <w:lvlText w:val="%1."/>
      <w:lvlJc w:val="left"/>
      <w:pPr>
        <w:ind w:left="360" w:hanging="360"/>
      </w:pPr>
      <w:rPr>
        <w:rFonts w:cs="Times New Roman"/>
        <w:b w:val="0"/>
      </w:rPr>
    </w:lvl>
    <w:lvl w:ilvl="1" w:tplc="2D2679D4">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0FD2794"/>
    <w:multiLevelType w:val="hybridMultilevel"/>
    <w:tmpl w:val="1B1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24A19"/>
    <w:multiLevelType w:val="hybridMultilevel"/>
    <w:tmpl w:val="C4E65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52462"/>
    <w:multiLevelType w:val="hybridMultilevel"/>
    <w:tmpl w:val="5A4681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14A1C5C"/>
    <w:multiLevelType w:val="hybridMultilevel"/>
    <w:tmpl w:val="399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27A28"/>
    <w:multiLevelType w:val="hybridMultilevel"/>
    <w:tmpl w:val="3F9003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79B6B38"/>
    <w:multiLevelType w:val="hybridMultilevel"/>
    <w:tmpl w:val="0C12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E456A2"/>
    <w:multiLevelType w:val="hybridMultilevel"/>
    <w:tmpl w:val="827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E45C3"/>
    <w:multiLevelType w:val="hybridMultilevel"/>
    <w:tmpl w:val="50F2B6AE"/>
    <w:lvl w:ilvl="0" w:tplc="E4B6C556">
      <w:start w:val="1"/>
      <w:numFmt w:val="lowerRoman"/>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B3F129E"/>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C7F0A75"/>
    <w:multiLevelType w:val="hybridMultilevel"/>
    <w:tmpl w:val="95704EF4"/>
    <w:lvl w:ilvl="0" w:tplc="9BD4B83E">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528C"/>
    <w:multiLevelType w:val="hybridMultilevel"/>
    <w:tmpl w:val="09CC1A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72827"/>
    <w:multiLevelType w:val="hybridMultilevel"/>
    <w:tmpl w:val="59B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5542E0"/>
    <w:multiLevelType w:val="hybridMultilevel"/>
    <w:tmpl w:val="7924F240"/>
    <w:lvl w:ilvl="0" w:tplc="38AA21C2">
      <w:start w:val="1"/>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25165"/>
    <w:multiLevelType w:val="hybridMultilevel"/>
    <w:tmpl w:val="CE9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41640"/>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1655B4C"/>
    <w:multiLevelType w:val="hybridMultilevel"/>
    <w:tmpl w:val="548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406F0"/>
    <w:multiLevelType w:val="hybridMultilevel"/>
    <w:tmpl w:val="997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44CB2"/>
    <w:multiLevelType w:val="hybridMultilevel"/>
    <w:tmpl w:val="F0C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B2445"/>
    <w:multiLevelType w:val="hybridMultilevel"/>
    <w:tmpl w:val="A73E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91089D"/>
    <w:multiLevelType w:val="hybridMultilevel"/>
    <w:tmpl w:val="2466BA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5" w15:restartNumberingAfterBreak="0">
    <w:nsid w:val="660C2632"/>
    <w:multiLevelType w:val="multilevel"/>
    <w:tmpl w:val="F846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10D76"/>
    <w:multiLevelType w:val="hybridMultilevel"/>
    <w:tmpl w:val="131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03758"/>
    <w:multiLevelType w:val="hybridMultilevel"/>
    <w:tmpl w:val="D37855F0"/>
    <w:lvl w:ilvl="0" w:tplc="96C6A3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77516"/>
    <w:multiLevelType w:val="hybridMultilevel"/>
    <w:tmpl w:val="25D48126"/>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9" w15:restartNumberingAfterBreak="0">
    <w:nsid w:val="6AF61EF4"/>
    <w:multiLevelType w:val="hybridMultilevel"/>
    <w:tmpl w:val="409041D8"/>
    <w:lvl w:ilvl="0" w:tplc="468CB836">
      <w:start w:val="1"/>
      <w:numFmt w:val="bullet"/>
      <w:lvlText w:val=""/>
      <w:lvlJc w:val="left"/>
      <w:pPr>
        <w:tabs>
          <w:tab w:val="num" w:pos="720"/>
        </w:tabs>
        <w:ind w:left="720" w:hanging="360"/>
      </w:pPr>
      <w:rPr>
        <w:rFonts w:ascii="Wingdings" w:hAnsi="Wingdings" w:hint="default"/>
      </w:rPr>
    </w:lvl>
    <w:lvl w:ilvl="1" w:tplc="723AB8B8" w:tentative="1">
      <w:start w:val="1"/>
      <w:numFmt w:val="bullet"/>
      <w:lvlText w:val=""/>
      <w:lvlJc w:val="left"/>
      <w:pPr>
        <w:tabs>
          <w:tab w:val="num" w:pos="1440"/>
        </w:tabs>
        <w:ind w:left="1440" w:hanging="360"/>
      </w:pPr>
      <w:rPr>
        <w:rFonts w:ascii="Wingdings" w:hAnsi="Wingdings" w:hint="default"/>
      </w:rPr>
    </w:lvl>
    <w:lvl w:ilvl="2" w:tplc="1C90FF3C" w:tentative="1">
      <w:start w:val="1"/>
      <w:numFmt w:val="bullet"/>
      <w:lvlText w:val=""/>
      <w:lvlJc w:val="left"/>
      <w:pPr>
        <w:tabs>
          <w:tab w:val="num" w:pos="2160"/>
        </w:tabs>
        <w:ind w:left="2160" w:hanging="360"/>
      </w:pPr>
      <w:rPr>
        <w:rFonts w:ascii="Wingdings" w:hAnsi="Wingdings" w:hint="default"/>
      </w:rPr>
    </w:lvl>
    <w:lvl w:ilvl="3" w:tplc="5C6AEB10" w:tentative="1">
      <w:start w:val="1"/>
      <w:numFmt w:val="bullet"/>
      <w:lvlText w:val=""/>
      <w:lvlJc w:val="left"/>
      <w:pPr>
        <w:tabs>
          <w:tab w:val="num" w:pos="2880"/>
        </w:tabs>
        <w:ind w:left="2880" w:hanging="360"/>
      </w:pPr>
      <w:rPr>
        <w:rFonts w:ascii="Wingdings" w:hAnsi="Wingdings" w:hint="default"/>
      </w:rPr>
    </w:lvl>
    <w:lvl w:ilvl="4" w:tplc="71B24EC0" w:tentative="1">
      <w:start w:val="1"/>
      <w:numFmt w:val="bullet"/>
      <w:lvlText w:val=""/>
      <w:lvlJc w:val="left"/>
      <w:pPr>
        <w:tabs>
          <w:tab w:val="num" w:pos="3600"/>
        </w:tabs>
        <w:ind w:left="3600" w:hanging="360"/>
      </w:pPr>
      <w:rPr>
        <w:rFonts w:ascii="Wingdings" w:hAnsi="Wingdings" w:hint="default"/>
      </w:rPr>
    </w:lvl>
    <w:lvl w:ilvl="5" w:tplc="A3CE8E8A" w:tentative="1">
      <w:start w:val="1"/>
      <w:numFmt w:val="bullet"/>
      <w:lvlText w:val=""/>
      <w:lvlJc w:val="left"/>
      <w:pPr>
        <w:tabs>
          <w:tab w:val="num" w:pos="4320"/>
        </w:tabs>
        <w:ind w:left="4320" w:hanging="360"/>
      </w:pPr>
      <w:rPr>
        <w:rFonts w:ascii="Wingdings" w:hAnsi="Wingdings" w:hint="default"/>
      </w:rPr>
    </w:lvl>
    <w:lvl w:ilvl="6" w:tplc="B7805C3A" w:tentative="1">
      <w:start w:val="1"/>
      <w:numFmt w:val="bullet"/>
      <w:lvlText w:val=""/>
      <w:lvlJc w:val="left"/>
      <w:pPr>
        <w:tabs>
          <w:tab w:val="num" w:pos="5040"/>
        </w:tabs>
        <w:ind w:left="5040" w:hanging="360"/>
      </w:pPr>
      <w:rPr>
        <w:rFonts w:ascii="Wingdings" w:hAnsi="Wingdings" w:hint="default"/>
      </w:rPr>
    </w:lvl>
    <w:lvl w:ilvl="7" w:tplc="8744A0E0" w:tentative="1">
      <w:start w:val="1"/>
      <w:numFmt w:val="bullet"/>
      <w:lvlText w:val=""/>
      <w:lvlJc w:val="left"/>
      <w:pPr>
        <w:tabs>
          <w:tab w:val="num" w:pos="5760"/>
        </w:tabs>
        <w:ind w:left="5760" w:hanging="360"/>
      </w:pPr>
      <w:rPr>
        <w:rFonts w:ascii="Wingdings" w:hAnsi="Wingdings" w:hint="default"/>
      </w:rPr>
    </w:lvl>
    <w:lvl w:ilvl="8" w:tplc="59F2154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1627F7"/>
    <w:multiLevelType w:val="multilevel"/>
    <w:tmpl w:val="B8AE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71159"/>
    <w:multiLevelType w:val="hybridMultilevel"/>
    <w:tmpl w:val="6C08DBEC"/>
    <w:lvl w:ilvl="0" w:tplc="04090003">
      <w:start w:val="1"/>
      <w:numFmt w:val="lowerRoman"/>
      <w:lvlText w:val="%1."/>
      <w:lvlJc w:val="left"/>
      <w:pPr>
        <w:ind w:left="360" w:hanging="360"/>
      </w:pPr>
      <w:rPr>
        <w:rFonts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3C39AD"/>
    <w:multiLevelType w:val="hybridMultilevel"/>
    <w:tmpl w:val="C59CA2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C545D6"/>
    <w:multiLevelType w:val="hybridMultilevel"/>
    <w:tmpl w:val="F56A6F30"/>
    <w:lvl w:ilvl="0" w:tplc="DEB09D40">
      <w:start w:val="1"/>
      <w:numFmt w:val="lowerRoman"/>
      <w:lvlText w:val="%1."/>
      <w:lvlJc w:val="left"/>
      <w:pPr>
        <w:ind w:left="360" w:hanging="360"/>
      </w:pPr>
      <w:rPr>
        <w:rFonts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A5468B"/>
    <w:multiLevelType w:val="hybridMultilevel"/>
    <w:tmpl w:val="0D167FE4"/>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35"/>
  </w:num>
  <w:num w:numId="3">
    <w:abstractNumId w:val="36"/>
  </w:num>
  <w:num w:numId="4">
    <w:abstractNumId w:val="32"/>
  </w:num>
  <w:num w:numId="5">
    <w:abstractNumId w:val="6"/>
  </w:num>
  <w:num w:numId="6">
    <w:abstractNumId w:val="34"/>
  </w:num>
  <w:num w:numId="7">
    <w:abstractNumId w:val="27"/>
  </w:num>
  <w:num w:numId="8">
    <w:abstractNumId w:val="7"/>
  </w:num>
  <w:num w:numId="9">
    <w:abstractNumId w:val="33"/>
  </w:num>
  <w:num w:numId="10">
    <w:abstractNumId w:val="31"/>
  </w:num>
  <w:num w:numId="11">
    <w:abstractNumId w:val="16"/>
  </w:num>
  <w:num w:numId="12">
    <w:abstractNumId w:val="43"/>
  </w:num>
  <w:num w:numId="13">
    <w:abstractNumId w:val="22"/>
  </w:num>
  <w:num w:numId="14">
    <w:abstractNumId w:val="14"/>
  </w:num>
  <w:num w:numId="15">
    <w:abstractNumId w:val="41"/>
  </w:num>
  <w:num w:numId="16">
    <w:abstractNumId w:val="11"/>
  </w:num>
  <w:num w:numId="17">
    <w:abstractNumId w:val="21"/>
  </w:num>
  <w:num w:numId="18">
    <w:abstractNumId w:val="30"/>
  </w:num>
  <w:num w:numId="19">
    <w:abstractNumId w:val="15"/>
  </w:num>
  <w:num w:numId="20">
    <w:abstractNumId w:val="13"/>
  </w:num>
  <w:num w:numId="21">
    <w:abstractNumId w:val="19"/>
  </w:num>
  <w:num w:numId="22">
    <w:abstractNumId w:val="0"/>
  </w:num>
  <w:num w:numId="23">
    <w:abstractNumId w:val="9"/>
  </w:num>
  <w:num w:numId="24">
    <w:abstractNumId w:val="4"/>
  </w:num>
  <w:num w:numId="25">
    <w:abstractNumId w:val="42"/>
  </w:num>
  <w:num w:numId="26">
    <w:abstractNumId w:val="25"/>
  </w:num>
  <w:num w:numId="27">
    <w:abstractNumId w:val="1"/>
  </w:num>
  <w:num w:numId="28">
    <w:abstractNumId w:val="5"/>
  </w:num>
  <w:num w:numId="29">
    <w:abstractNumId w:val="18"/>
  </w:num>
  <w:num w:numId="30">
    <w:abstractNumId w:val="10"/>
  </w:num>
  <w:num w:numId="31">
    <w:abstractNumId w:val="20"/>
  </w:num>
  <w:num w:numId="32">
    <w:abstractNumId w:val="23"/>
  </w:num>
  <w:num w:numId="33">
    <w:abstractNumId w:val="3"/>
  </w:num>
  <w:num w:numId="34">
    <w:abstractNumId w:val="38"/>
  </w:num>
  <w:num w:numId="35">
    <w:abstractNumId w:val="2"/>
  </w:num>
  <w:num w:numId="36">
    <w:abstractNumId w:val="12"/>
  </w:num>
  <w:num w:numId="37">
    <w:abstractNumId w:val="29"/>
  </w:num>
  <w:num w:numId="38">
    <w:abstractNumId w:val="28"/>
  </w:num>
  <w:num w:numId="39">
    <w:abstractNumId w:val="39"/>
  </w:num>
  <w:num w:numId="40">
    <w:abstractNumId w:val="8"/>
  </w:num>
  <w:num w:numId="41">
    <w:abstractNumId w:val="26"/>
  </w:num>
  <w:num w:numId="42">
    <w:abstractNumId w:val="44"/>
  </w:num>
  <w:num w:numId="43">
    <w:abstractNumId w:val="17"/>
  </w:num>
  <w:num w:numId="44">
    <w:abstractNumId w:val="2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B81"/>
    <w:rsid w:val="00002BB3"/>
    <w:rsid w:val="00005AB5"/>
    <w:rsid w:val="000074F5"/>
    <w:rsid w:val="000967E1"/>
    <w:rsid w:val="000A027B"/>
    <w:rsid w:val="000B5A0F"/>
    <w:rsid w:val="000B6CBF"/>
    <w:rsid w:val="000B738E"/>
    <w:rsid w:val="000F1179"/>
    <w:rsid w:val="001135CC"/>
    <w:rsid w:val="0012787B"/>
    <w:rsid w:val="001333DE"/>
    <w:rsid w:val="00153C8C"/>
    <w:rsid w:val="00156F43"/>
    <w:rsid w:val="00164BF0"/>
    <w:rsid w:val="001B0082"/>
    <w:rsid w:val="001B59BC"/>
    <w:rsid w:val="001B5B94"/>
    <w:rsid w:val="001D0C1D"/>
    <w:rsid w:val="001D5291"/>
    <w:rsid w:val="001F504A"/>
    <w:rsid w:val="002031A7"/>
    <w:rsid w:val="00220681"/>
    <w:rsid w:val="00227DFE"/>
    <w:rsid w:val="00244C62"/>
    <w:rsid w:val="00275B09"/>
    <w:rsid w:val="00276740"/>
    <w:rsid w:val="00282C1A"/>
    <w:rsid w:val="002B2CCB"/>
    <w:rsid w:val="002B5453"/>
    <w:rsid w:val="002E179C"/>
    <w:rsid w:val="002E2894"/>
    <w:rsid w:val="003529E2"/>
    <w:rsid w:val="00384266"/>
    <w:rsid w:val="003C03F1"/>
    <w:rsid w:val="003D377F"/>
    <w:rsid w:val="0040754B"/>
    <w:rsid w:val="00412F17"/>
    <w:rsid w:val="00427A50"/>
    <w:rsid w:val="004547CF"/>
    <w:rsid w:val="004748AD"/>
    <w:rsid w:val="004B1806"/>
    <w:rsid w:val="004B7D2F"/>
    <w:rsid w:val="004D5C3A"/>
    <w:rsid w:val="004F51FB"/>
    <w:rsid w:val="00514A15"/>
    <w:rsid w:val="005152B0"/>
    <w:rsid w:val="0052639C"/>
    <w:rsid w:val="00550178"/>
    <w:rsid w:val="00551126"/>
    <w:rsid w:val="00562700"/>
    <w:rsid w:val="005711AC"/>
    <w:rsid w:val="005A23F9"/>
    <w:rsid w:val="005A7439"/>
    <w:rsid w:val="005C2C0B"/>
    <w:rsid w:val="005F1312"/>
    <w:rsid w:val="00611F35"/>
    <w:rsid w:val="00620604"/>
    <w:rsid w:val="0064377B"/>
    <w:rsid w:val="00643825"/>
    <w:rsid w:val="00696FD1"/>
    <w:rsid w:val="006F6064"/>
    <w:rsid w:val="00711E60"/>
    <w:rsid w:val="007318F0"/>
    <w:rsid w:val="00731B90"/>
    <w:rsid w:val="00737891"/>
    <w:rsid w:val="00745CEC"/>
    <w:rsid w:val="00763FC5"/>
    <w:rsid w:val="00764671"/>
    <w:rsid w:val="00781CF5"/>
    <w:rsid w:val="007C3F07"/>
    <w:rsid w:val="007D3F9A"/>
    <w:rsid w:val="00807924"/>
    <w:rsid w:val="00817771"/>
    <w:rsid w:val="00860907"/>
    <w:rsid w:val="008A7B3C"/>
    <w:rsid w:val="008C18C9"/>
    <w:rsid w:val="008D30AF"/>
    <w:rsid w:val="008F1B81"/>
    <w:rsid w:val="00920614"/>
    <w:rsid w:val="00947F91"/>
    <w:rsid w:val="009C314C"/>
    <w:rsid w:val="00A2015A"/>
    <w:rsid w:val="00A27D7C"/>
    <w:rsid w:val="00A344BA"/>
    <w:rsid w:val="00A50EFD"/>
    <w:rsid w:val="00A53692"/>
    <w:rsid w:val="00A62883"/>
    <w:rsid w:val="00AA7969"/>
    <w:rsid w:val="00AC1323"/>
    <w:rsid w:val="00AC5795"/>
    <w:rsid w:val="00B207BD"/>
    <w:rsid w:val="00B27E4C"/>
    <w:rsid w:val="00B62BA8"/>
    <w:rsid w:val="00B77965"/>
    <w:rsid w:val="00BB0B1C"/>
    <w:rsid w:val="00BE09B7"/>
    <w:rsid w:val="00BE4AFF"/>
    <w:rsid w:val="00BF340D"/>
    <w:rsid w:val="00C46A39"/>
    <w:rsid w:val="00C521A8"/>
    <w:rsid w:val="00C65198"/>
    <w:rsid w:val="00CA763A"/>
    <w:rsid w:val="00CE755E"/>
    <w:rsid w:val="00D137A3"/>
    <w:rsid w:val="00D366CD"/>
    <w:rsid w:val="00D45E84"/>
    <w:rsid w:val="00D81CDE"/>
    <w:rsid w:val="00D90430"/>
    <w:rsid w:val="00D90D05"/>
    <w:rsid w:val="00D91514"/>
    <w:rsid w:val="00D93B84"/>
    <w:rsid w:val="00DB3EB1"/>
    <w:rsid w:val="00DD4F39"/>
    <w:rsid w:val="00DF7803"/>
    <w:rsid w:val="00E007DD"/>
    <w:rsid w:val="00E74411"/>
    <w:rsid w:val="00EA55E2"/>
    <w:rsid w:val="00EE1FAC"/>
    <w:rsid w:val="00F0047E"/>
    <w:rsid w:val="00F23946"/>
    <w:rsid w:val="00F42C0A"/>
    <w:rsid w:val="00F43693"/>
    <w:rsid w:val="00F56B97"/>
    <w:rsid w:val="00F62C52"/>
    <w:rsid w:val="00F65462"/>
    <w:rsid w:val="00F72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CCF7F87-FD19-4237-9824-C61B92D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1F504A"/>
    <w:pPr>
      <w:keepNext/>
      <w:keepLines/>
      <w:spacing w:before="480" w:after="0"/>
      <w:jc w:val="both"/>
      <w:outlineLvl w:val="0"/>
    </w:pPr>
    <w:rPr>
      <w:rFonts w:ascii="Tahoma" w:hAnsi="Tahoma"/>
      <w:b/>
      <w:bCs/>
      <w:sz w:val="28"/>
      <w:szCs w:val="28"/>
      <w:lang w:val="en-GB"/>
    </w:rPr>
  </w:style>
  <w:style w:type="paragraph" w:styleId="Heading3">
    <w:name w:val="heading 3"/>
    <w:basedOn w:val="Normal"/>
    <w:next w:val="Normal"/>
    <w:link w:val="Heading3Char"/>
    <w:uiPriority w:val="99"/>
    <w:qFormat/>
    <w:rsid w:val="00550178"/>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504A"/>
    <w:rPr>
      <w:rFonts w:ascii="Tahoma" w:hAnsi="Tahoma"/>
      <w:b/>
      <w:sz w:val="28"/>
      <w:lang w:val="en-GB" w:eastAsia="x-none"/>
    </w:rPr>
  </w:style>
  <w:style w:type="character" w:customStyle="1" w:styleId="Heading3Char">
    <w:name w:val="Heading 3 Char"/>
    <w:link w:val="Heading3"/>
    <w:uiPriority w:val="99"/>
    <w:locked/>
    <w:rsid w:val="00550178"/>
    <w:rPr>
      <w:rFonts w:ascii="Cambria" w:hAnsi="Cambria"/>
      <w:b/>
      <w:color w:val="4F81BD"/>
    </w:rPr>
  </w:style>
  <w:style w:type="paragraph" w:styleId="BalloonText">
    <w:name w:val="Balloon Text"/>
    <w:basedOn w:val="Normal"/>
    <w:link w:val="BalloonTextChar"/>
    <w:uiPriority w:val="99"/>
    <w:semiHidden/>
    <w:rsid w:val="008F1B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F1B81"/>
    <w:rPr>
      <w:rFonts w:ascii="Tahoma" w:hAnsi="Tahoma"/>
      <w:sz w:val="16"/>
      <w:lang w:val="en-GB" w:eastAsia="x-none"/>
    </w:rPr>
  </w:style>
  <w:style w:type="table" w:styleId="TableGrid">
    <w:name w:val="Table Grid"/>
    <w:basedOn w:val="TableNormal"/>
    <w:uiPriority w:val="99"/>
    <w:rsid w:val="0073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18F0"/>
    <w:rPr>
      <w:rFonts w:cs="Times New Roman"/>
      <w:color w:val="0000FF"/>
      <w:u w:val="single"/>
    </w:rPr>
  </w:style>
  <w:style w:type="paragraph" w:styleId="Header">
    <w:name w:val="header"/>
    <w:basedOn w:val="Normal"/>
    <w:link w:val="HeaderChar"/>
    <w:uiPriority w:val="99"/>
    <w:rsid w:val="004B1806"/>
    <w:pPr>
      <w:tabs>
        <w:tab w:val="center" w:pos="4680"/>
        <w:tab w:val="right" w:pos="9360"/>
      </w:tabs>
      <w:spacing w:after="0" w:line="240" w:lineRule="auto"/>
    </w:pPr>
  </w:style>
  <w:style w:type="character" w:customStyle="1" w:styleId="HeaderChar">
    <w:name w:val="Header Char"/>
    <w:link w:val="Header"/>
    <w:uiPriority w:val="99"/>
    <w:locked/>
    <w:rsid w:val="004B1806"/>
    <w:rPr>
      <w:lang w:val="en-GB" w:eastAsia="x-none"/>
    </w:rPr>
  </w:style>
  <w:style w:type="paragraph" w:styleId="Footer">
    <w:name w:val="footer"/>
    <w:basedOn w:val="Normal"/>
    <w:link w:val="FooterChar"/>
    <w:uiPriority w:val="99"/>
    <w:rsid w:val="004B1806"/>
    <w:pPr>
      <w:tabs>
        <w:tab w:val="center" w:pos="4680"/>
        <w:tab w:val="right" w:pos="9360"/>
      </w:tabs>
      <w:spacing w:after="0" w:line="240" w:lineRule="auto"/>
    </w:pPr>
  </w:style>
  <w:style w:type="character" w:customStyle="1" w:styleId="FooterChar">
    <w:name w:val="Footer Char"/>
    <w:link w:val="Footer"/>
    <w:uiPriority w:val="99"/>
    <w:locked/>
    <w:rsid w:val="004B1806"/>
    <w:rPr>
      <w:lang w:val="en-GB" w:eastAsia="x-none"/>
    </w:rPr>
  </w:style>
  <w:style w:type="paragraph" w:styleId="ListParagraph">
    <w:name w:val="List Paragraph"/>
    <w:basedOn w:val="Normal"/>
    <w:uiPriority w:val="34"/>
    <w:qFormat/>
    <w:rsid w:val="00282C1A"/>
    <w:pPr>
      <w:ind w:left="720"/>
      <w:contextualSpacing/>
    </w:pPr>
  </w:style>
  <w:style w:type="character" w:customStyle="1" w:styleId="awc-39746364">
    <w:name w:val="awc-39746364"/>
    <w:uiPriority w:val="99"/>
    <w:rsid w:val="00550178"/>
    <w:rPr>
      <w:rFonts w:cs="Times New Roman"/>
    </w:rPr>
  </w:style>
  <w:style w:type="character" w:styleId="CommentReference">
    <w:name w:val="annotation reference"/>
    <w:uiPriority w:val="99"/>
    <w:semiHidden/>
    <w:rsid w:val="001135CC"/>
    <w:rPr>
      <w:rFonts w:cs="Times New Roman"/>
      <w:sz w:val="16"/>
    </w:rPr>
  </w:style>
  <w:style w:type="paragraph" w:styleId="CommentText">
    <w:name w:val="annotation text"/>
    <w:basedOn w:val="Normal"/>
    <w:link w:val="CommentTextChar"/>
    <w:uiPriority w:val="99"/>
    <w:rsid w:val="001135CC"/>
    <w:pPr>
      <w:spacing w:line="240" w:lineRule="auto"/>
    </w:pPr>
    <w:rPr>
      <w:sz w:val="20"/>
      <w:szCs w:val="20"/>
    </w:rPr>
  </w:style>
  <w:style w:type="character" w:customStyle="1" w:styleId="CommentTextChar">
    <w:name w:val="Comment Text Char"/>
    <w:link w:val="CommentText"/>
    <w:uiPriority w:val="99"/>
    <w:locked/>
    <w:rsid w:val="001135CC"/>
    <w:rPr>
      <w:sz w:val="20"/>
    </w:rPr>
  </w:style>
  <w:style w:type="paragraph" w:styleId="CommentSubject">
    <w:name w:val="annotation subject"/>
    <w:basedOn w:val="CommentText"/>
    <w:next w:val="CommentText"/>
    <w:link w:val="CommentSubjectChar"/>
    <w:uiPriority w:val="99"/>
    <w:semiHidden/>
    <w:rsid w:val="001135CC"/>
    <w:rPr>
      <w:b/>
      <w:bCs/>
    </w:rPr>
  </w:style>
  <w:style w:type="character" w:customStyle="1" w:styleId="CommentSubjectChar">
    <w:name w:val="Comment Subject Char"/>
    <w:link w:val="CommentSubject"/>
    <w:uiPriority w:val="99"/>
    <w:semiHidden/>
    <w:locked/>
    <w:rsid w:val="001135CC"/>
    <w:rPr>
      <w:b/>
      <w:sz w:val="20"/>
    </w:rPr>
  </w:style>
  <w:style w:type="paragraph" w:customStyle="1" w:styleId="Default">
    <w:name w:val="Default"/>
    <w:basedOn w:val="Normal"/>
    <w:uiPriority w:val="99"/>
    <w:rsid w:val="00F43693"/>
    <w:pPr>
      <w:autoSpaceDE w:val="0"/>
      <w:autoSpaceDN w:val="0"/>
      <w:spacing w:after="0" w:line="240" w:lineRule="auto"/>
    </w:pPr>
    <w:rPr>
      <w:color w:val="000000"/>
      <w:sz w:val="24"/>
      <w:szCs w:val="24"/>
    </w:rPr>
  </w:style>
  <w:style w:type="paragraph" w:styleId="Title">
    <w:name w:val="Title"/>
    <w:basedOn w:val="Normal"/>
    <w:next w:val="Normal"/>
    <w:link w:val="TitleChar"/>
    <w:uiPriority w:val="99"/>
    <w:qFormat/>
    <w:rsid w:val="001F504A"/>
    <w:pPr>
      <w:pBdr>
        <w:bottom w:val="single" w:sz="8" w:space="4" w:color="FFC000"/>
      </w:pBdr>
      <w:spacing w:after="300" w:line="240" w:lineRule="auto"/>
      <w:contextualSpacing/>
      <w:jc w:val="both"/>
    </w:pPr>
    <w:rPr>
      <w:rFonts w:ascii="Tahoma" w:hAnsi="Tahoma"/>
      <w:spacing w:val="5"/>
      <w:kern w:val="28"/>
      <w:sz w:val="52"/>
      <w:szCs w:val="52"/>
      <w:lang w:val="en-GB"/>
    </w:rPr>
  </w:style>
  <w:style w:type="character" w:customStyle="1" w:styleId="TitleChar">
    <w:name w:val="Title Char"/>
    <w:link w:val="Title"/>
    <w:uiPriority w:val="99"/>
    <w:locked/>
    <w:rsid w:val="001F504A"/>
    <w:rPr>
      <w:rFonts w:ascii="Tahoma" w:hAnsi="Tahoma"/>
      <w:spacing w:val="5"/>
      <w:kern w:val="28"/>
      <w:sz w:val="52"/>
      <w:lang w:val="en-GB" w:eastAsia="x-none"/>
    </w:rPr>
  </w:style>
  <w:style w:type="paragraph" w:styleId="Subtitle">
    <w:name w:val="Subtitle"/>
    <w:basedOn w:val="Normal"/>
    <w:next w:val="Normal"/>
    <w:link w:val="SubtitleChar"/>
    <w:uiPriority w:val="99"/>
    <w:qFormat/>
    <w:rsid w:val="001F504A"/>
    <w:pPr>
      <w:numPr>
        <w:ilvl w:val="1"/>
      </w:numPr>
      <w:jc w:val="both"/>
    </w:pPr>
    <w:rPr>
      <w:rFonts w:ascii="Tahoma" w:hAnsi="Tahoma"/>
      <w:i/>
      <w:iCs/>
      <w:color w:val="808080"/>
      <w:spacing w:val="15"/>
      <w:sz w:val="24"/>
      <w:szCs w:val="24"/>
      <w:lang w:val="en-GB"/>
    </w:rPr>
  </w:style>
  <w:style w:type="character" w:customStyle="1" w:styleId="SubtitleChar">
    <w:name w:val="Subtitle Char"/>
    <w:link w:val="Subtitle"/>
    <w:uiPriority w:val="99"/>
    <w:locked/>
    <w:rsid w:val="001F504A"/>
    <w:rPr>
      <w:rFonts w:ascii="Tahoma" w:hAnsi="Tahoma"/>
      <w:i/>
      <w:color w:val="808080"/>
      <w:spacing w:val="15"/>
      <w:sz w:val="24"/>
      <w:lang w:val="en-GB" w:eastAsia="x-none"/>
    </w:rPr>
  </w:style>
  <w:style w:type="paragraph" w:customStyle="1" w:styleId="BodyA">
    <w:name w:val="Body A"/>
    <w:rsid w:val="00AA7969"/>
    <w:pPr>
      <w:spacing w:after="200" w:line="276" w:lineRule="auto"/>
    </w:pPr>
    <w:rPr>
      <w:rFonts w:eastAsia="Arial Unicode MS" w:hAnsi="Arial Unicode MS" w:cs="Arial Unicode MS"/>
      <w:color w:val="000000"/>
      <w:sz w:val="22"/>
      <w:szCs w:val="22"/>
      <w:u w:color="000000"/>
      <w:lang w:val="es-ES_tradnl" w:eastAsia="de-DE"/>
    </w:rPr>
  </w:style>
  <w:style w:type="character" w:customStyle="1" w:styleId="UnresolvedMention1">
    <w:name w:val="Unresolved Mention1"/>
    <w:uiPriority w:val="99"/>
    <w:semiHidden/>
    <w:rsid w:val="006F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08943">
      <w:marLeft w:val="0"/>
      <w:marRight w:val="0"/>
      <w:marTop w:val="0"/>
      <w:marBottom w:val="0"/>
      <w:divBdr>
        <w:top w:val="none" w:sz="0" w:space="0" w:color="auto"/>
        <w:left w:val="none" w:sz="0" w:space="0" w:color="auto"/>
        <w:bottom w:val="none" w:sz="0" w:space="0" w:color="auto"/>
        <w:right w:val="none" w:sz="0" w:space="0" w:color="auto"/>
      </w:divBdr>
    </w:div>
    <w:div w:id="398208944">
      <w:marLeft w:val="0"/>
      <w:marRight w:val="0"/>
      <w:marTop w:val="0"/>
      <w:marBottom w:val="0"/>
      <w:divBdr>
        <w:top w:val="none" w:sz="0" w:space="0" w:color="auto"/>
        <w:left w:val="none" w:sz="0" w:space="0" w:color="auto"/>
        <w:bottom w:val="none" w:sz="0" w:space="0" w:color="auto"/>
        <w:right w:val="none" w:sz="0" w:space="0" w:color="auto"/>
      </w:divBdr>
    </w:div>
    <w:div w:id="398208945">
      <w:marLeft w:val="0"/>
      <w:marRight w:val="0"/>
      <w:marTop w:val="0"/>
      <w:marBottom w:val="0"/>
      <w:divBdr>
        <w:top w:val="none" w:sz="0" w:space="0" w:color="auto"/>
        <w:left w:val="none" w:sz="0" w:space="0" w:color="auto"/>
        <w:bottom w:val="none" w:sz="0" w:space="0" w:color="auto"/>
        <w:right w:val="none" w:sz="0" w:space="0" w:color="auto"/>
      </w:divBdr>
    </w:div>
    <w:div w:id="398208947">
      <w:marLeft w:val="0"/>
      <w:marRight w:val="0"/>
      <w:marTop w:val="0"/>
      <w:marBottom w:val="0"/>
      <w:divBdr>
        <w:top w:val="none" w:sz="0" w:space="0" w:color="auto"/>
        <w:left w:val="none" w:sz="0" w:space="0" w:color="auto"/>
        <w:bottom w:val="none" w:sz="0" w:space="0" w:color="auto"/>
        <w:right w:val="none" w:sz="0" w:space="0" w:color="auto"/>
      </w:divBdr>
    </w:div>
    <w:div w:id="398208948">
      <w:marLeft w:val="0"/>
      <w:marRight w:val="0"/>
      <w:marTop w:val="0"/>
      <w:marBottom w:val="0"/>
      <w:divBdr>
        <w:top w:val="none" w:sz="0" w:space="0" w:color="auto"/>
        <w:left w:val="none" w:sz="0" w:space="0" w:color="auto"/>
        <w:bottom w:val="none" w:sz="0" w:space="0" w:color="auto"/>
        <w:right w:val="none" w:sz="0" w:space="0" w:color="auto"/>
      </w:divBdr>
      <w:divsChild>
        <w:div w:id="398208950">
          <w:marLeft w:val="720"/>
          <w:marRight w:val="720"/>
          <w:marTop w:val="100"/>
          <w:marBottom w:val="100"/>
          <w:divBdr>
            <w:top w:val="none" w:sz="0" w:space="0" w:color="auto"/>
            <w:left w:val="none" w:sz="0" w:space="0" w:color="auto"/>
            <w:bottom w:val="none" w:sz="0" w:space="0" w:color="auto"/>
            <w:right w:val="none" w:sz="0" w:space="0" w:color="auto"/>
          </w:divBdr>
          <w:divsChild>
            <w:div w:id="3982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n21.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Urbani</dc:creator>
  <cp:keywords/>
  <dc:description/>
  <cp:lastModifiedBy>Florencia Urbani</cp:lastModifiedBy>
  <cp:revision>2</cp:revision>
  <cp:lastPrinted>2019-06-03T09:30:00Z</cp:lastPrinted>
  <dcterms:created xsi:type="dcterms:W3CDTF">2019-06-17T09:42:00Z</dcterms:created>
  <dcterms:modified xsi:type="dcterms:W3CDTF">2019-06-17T09:42:00Z</dcterms:modified>
</cp:coreProperties>
</file>