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156CC" w14:textId="77777777" w:rsidR="001F504A" w:rsidRPr="004D4998" w:rsidRDefault="001F504A" w:rsidP="002F6A10">
      <w:pPr>
        <w:pStyle w:val="Title"/>
        <w:tabs>
          <w:tab w:val="left" w:pos="3261"/>
        </w:tabs>
        <w:jc w:val="left"/>
        <w:rPr>
          <w:rFonts w:cs="Tahoma"/>
          <w:sz w:val="8"/>
          <w:szCs w:val="8"/>
          <w:lang w:val="fr-FR"/>
        </w:rPr>
      </w:pPr>
      <w:bookmarkStart w:id="0" w:name="_GoBack"/>
      <w:bookmarkEnd w:id="0"/>
    </w:p>
    <w:p w14:paraId="6F72E36D" w14:textId="2DA513F3" w:rsidR="000E4DFB" w:rsidRPr="004D4998" w:rsidRDefault="004D4998" w:rsidP="0089791E">
      <w:pPr>
        <w:jc w:val="center"/>
        <w:rPr>
          <w:rFonts w:cs="Tahoma"/>
          <w:b/>
          <w:color w:val="FF0000"/>
          <w:sz w:val="28"/>
          <w:szCs w:val="28"/>
          <w:lang w:val="fr-FR"/>
        </w:rPr>
      </w:pPr>
      <w:r w:rsidRPr="004D4998">
        <w:rPr>
          <w:rFonts w:cs="Tahoma"/>
          <w:b/>
          <w:color w:val="FF0000"/>
          <w:sz w:val="28"/>
          <w:szCs w:val="28"/>
          <w:lang w:val="fr-FR"/>
        </w:rPr>
        <w:t>Embargo: mercredi 7 juin à 00h30 CEST</w:t>
      </w:r>
    </w:p>
    <w:p w14:paraId="6017C0C7" w14:textId="30FB0B59" w:rsidR="007458FB" w:rsidRPr="004D4998" w:rsidRDefault="007F4920" w:rsidP="0089791E">
      <w:pPr>
        <w:jc w:val="center"/>
        <w:rPr>
          <w:b/>
          <w:sz w:val="28"/>
          <w:szCs w:val="28"/>
          <w:lang w:val="fr-FR"/>
        </w:rPr>
      </w:pPr>
      <w:r w:rsidRPr="004D4998">
        <w:rPr>
          <w:b/>
          <w:sz w:val="28"/>
          <w:szCs w:val="28"/>
          <w:lang w:val="fr-FR"/>
        </w:rPr>
        <w:t>Nouvelle année record pour les</w:t>
      </w:r>
      <w:r w:rsidR="001540EC" w:rsidRPr="004D4998">
        <w:rPr>
          <w:b/>
          <w:sz w:val="28"/>
          <w:szCs w:val="28"/>
          <w:lang w:val="fr-FR"/>
        </w:rPr>
        <w:t xml:space="preserve"> éner</w:t>
      </w:r>
      <w:r w:rsidR="006E514A" w:rsidRPr="004D4998">
        <w:rPr>
          <w:b/>
          <w:sz w:val="28"/>
          <w:szCs w:val="28"/>
          <w:lang w:val="fr-FR"/>
        </w:rPr>
        <w:t>g</w:t>
      </w:r>
      <w:r w:rsidR="001540EC" w:rsidRPr="004D4998">
        <w:rPr>
          <w:b/>
          <w:sz w:val="28"/>
          <w:szCs w:val="28"/>
          <w:lang w:val="fr-FR"/>
        </w:rPr>
        <w:t xml:space="preserve">ies renouvelables: </w:t>
      </w:r>
      <w:r w:rsidR="004D4998" w:rsidRPr="004D4998">
        <w:rPr>
          <w:b/>
          <w:sz w:val="28"/>
          <w:szCs w:val="28"/>
          <w:lang w:val="fr-FR"/>
        </w:rPr>
        <w:br/>
      </w:r>
      <w:r w:rsidR="001540EC" w:rsidRPr="004D4998">
        <w:rPr>
          <w:b/>
          <w:sz w:val="28"/>
          <w:szCs w:val="28"/>
          <w:lang w:val="fr-FR"/>
        </w:rPr>
        <w:t>plus d</w:t>
      </w:r>
      <w:r w:rsidR="0089791E" w:rsidRPr="004D4998">
        <w:rPr>
          <w:b/>
          <w:sz w:val="28"/>
          <w:szCs w:val="28"/>
          <w:lang w:val="fr-FR"/>
        </w:rPr>
        <w:t>e capacité d</w:t>
      </w:r>
      <w:r w:rsidR="001540EC" w:rsidRPr="004D4998">
        <w:rPr>
          <w:b/>
          <w:sz w:val="28"/>
          <w:szCs w:val="28"/>
          <w:lang w:val="fr-FR"/>
        </w:rPr>
        <w:t>’énergie</w:t>
      </w:r>
      <w:r w:rsidR="0089791E" w:rsidRPr="004D4998">
        <w:rPr>
          <w:b/>
          <w:sz w:val="28"/>
          <w:szCs w:val="28"/>
          <w:lang w:val="fr-FR"/>
        </w:rPr>
        <w:t>s</w:t>
      </w:r>
      <w:r w:rsidR="001540EC" w:rsidRPr="004D4998">
        <w:rPr>
          <w:b/>
          <w:sz w:val="28"/>
          <w:szCs w:val="28"/>
          <w:lang w:val="fr-FR"/>
        </w:rPr>
        <w:t xml:space="preserve"> renouvelable</w:t>
      </w:r>
      <w:r w:rsidR="0089791E" w:rsidRPr="004D4998">
        <w:rPr>
          <w:b/>
          <w:sz w:val="28"/>
          <w:szCs w:val="28"/>
          <w:lang w:val="fr-FR"/>
        </w:rPr>
        <w:t>s</w:t>
      </w:r>
      <w:r w:rsidR="001540EC" w:rsidRPr="004D4998">
        <w:rPr>
          <w:b/>
          <w:sz w:val="28"/>
          <w:szCs w:val="28"/>
          <w:lang w:val="fr-FR"/>
        </w:rPr>
        <w:t xml:space="preserve"> pour moins cher!</w:t>
      </w:r>
    </w:p>
    <w:p w14:paraId="20225563" w14:textId="7B9A6A78" w:rsidR="0089791E" w:rsidRPr="004D4998" w:rsidRDefault="0089791E" w:rsidP="004C1EB0">
      <w:pPr>
        <w:jc w:val="center"/>
        <w:rPr>
          <w:b/>
          <w:sz w:val="28"/>
          <w:szCs w:val="28"/>
          <w:lang w:val="fr-FR"/>
        </w:rPr>
      </w:pPr>
      <w:r w:rsidRPr="004D4998">
        <w:rPr>
          <w:b/>
          <w:sz w:val="28"/>
          <w:szCs w:val="28"/>
          <w:lang w:val="fr-FR"/>
        </w:rPr>
        <w:t>161GW addition</w:t>
      </w:r>
      <w:r w:rsidR="004D4998">
        <w:rPr>
          <w:b/>
          <w:sz w:val="28"/>
          <w:szCs w:val="28"/>
          <w:lang w:val="fr-FR"/>
        </w:rPr>
        <w:t>n</w:t>
      </w:r>
      <w:r w:rsidRPr="004D4998">
        <w:rPr>
          <w:b/>
          <w:sz w:val="28"/>
          <w:szCs w:val="28"/>
          <w:lang w:val="fr-FR"/>
        </w:rPr>
        <w:t xml:space="preserve">els, pour </w:t>
      </w:r>
      <w:r w:rsidR="00654E07" w:rsidRPr="004D4998">
        <w:rPr>
          <w:b/>
          <w:sz w:val="28"/>
          <w:szCs w:val="28"/>
          <w:lang w:val="fr-FR"/>
        </w:rPr>
        <w:t>23</w:t>
      </w:r>
      <w:r w:rsidR="004D4998" w:rsidRPr="004D4998">
        <w:rPr>
          <w:b/>
          <w:sz w:val="28"/>
          <w:szCs w:val="28"/>
          <w:lang w:val="fr-FR"/>
        </w:rPr>
        <w:t>% d’investissement en moins (241,</w:t>
      </w:r>
      <w:r w:rsidR="00654E07" w:rsidRPr="004D4998">
        <w:rPr>
          <w:b/>
          <w:sz w:val="28"/>
          <w:szCs w:val="28"/>
          <w:lang w:val="fr-FR"/>
        </w:rPr>
        <w:t>6 milliard</w:t>
      </w:r>
      <w:r w:rsidR="004D4998" w:rsidRPr="004D4998">
        <w:rPr>
          <w:b/>
          <w:sz w:val="28"/>
          <w:szCs w:val="28"/>
          <w:lang w:val="fr-FR"/>
        </w:rPr>
        <w:t>s $</w:t>
      </w:r>
      <w:r w:rsidRPr="004D4998">
        <w:rPr>
          <w:b/>
          <w:sz w:val="28"/>
          <w:szCs w:val="28"/>
          <w:lang w:val="fr-FR"/>
        </w:rPr>
        <w:t>)</w:t>
      </w:r>
    </w:p>
    <w:p w14:paraId="7BDBBF66" w14:textId="77777777" w:rsidR="004C1EB0" w:rsidRPr="004D4998" w:rsidRDefault="004C1EB0" w:rsidP="004C1EB0">
      <w:pPr>
        <w:jc w:val="center"/>
        <w:rPr>
          <w:b/>
          <w:sz w:val="28"/>
          <w:szCs w:val="28"/>
          <w:lang w:val="fr-FR"/>
        </w:rPr>
      </w:pPr>
    </w:p>
    <w:p w14:paraId="5F972D98" w14:textId="344EA010" w:rsidR="0089791E" w:rsidRPr="004D4998" w:rsidRDefault="0089791E" w:rsidP="002A2132">
      <w:pPr>
        <w:jc w:val="both"/>
        <w:rPr>
          <w:lang w:val="fr-FR"/>
        </w:rPr>
      </w:pPr>
      <w:r w:rsidRPr="004D4998">
        <w:rPr>
          <w:lang w:val="fr-FR"/>
        </w:rPr>
        <w:t xml:space="preserve">Aujourd’hui REN21 publie son </w:t>
      </w:r>
      <w:proofErr w:type="spellStart"/>
      <w:r w:rsidR="00146E6F" w:rsidRPr="004D4998">
        <w:rPr>
          <w:i/>
          <w:lang w:val="fr-FR"/>
        </w:rPr>
        <w:t>Renewables</w:t>
      </w:r>
      <w:proofErr w:type="spellEnd"/>
      <w:r w:rsidR="00146E6F" w:rsidRPr="004D4998">
        <w:rPr>
          <w:i/>
          <w:lang w:val="fr-FR"/>
        </w:rPr>
        <w:t xml:space="preserve"> 2017 Global </w:t>
      </w:r>
      <w:proofErr w:type="spellStart"/>
      <w:r w:rsidR="00146E6F" w:rsidRPr="004D4998">
        <w:rPr>
          <w:i/>
          <w:lang w:val="fr-FR"/>
        </w:rPr>
        <w:t>Status</w:t>
      </w:r>
      <w:proofErr w:type="spellEnd"/>
      <w:r w:rsidR="00146E6F" w:rsidRPr="004D4998">
        <w:rPr>
          <w:i/>
          <w:lang w:val="fr-FR"/>
        </w:rPr>
        <w:t xml:space="preserve"> Report (GSR),</w:t>
      </w:r>
      <w:r w:rsidRPr="004D4998">
        <w:rPr>
          <w:i/>
          <w:lang w:val="fr-FR"/>
        </w:rPr>
        <w:t xml:space="preserve"> </w:t>
      </w:r>
      <w:r w:rsidRPr="004D4998">
        <w:rPr>
          <w:lang w:val="fr-FR"/>
        </w:rPr>
        <w:t xml:space="preserve">l’état des lieux le plus complet sur </w:t>
      </w:r>
      <w:r w:rsidR="00F71CF3">
        <w:rPr>
          <w:lang w:val="fr-FR"/>
        </w:rPr>
        <w:t>le développement</w:t>
      </w:r>
      <w:r w:rsidRPr="004D4998">
        <w:rPr>
          <w:lang w:val="fr-FR"/>
        </w:rPr>
        <w:t xml:space="preserve"> des énergies renouvelables dans le monde.</w:t>
      </w:r>
    </w:p>
    <w:p w14:paraId="2BA0D1D6" w14:textId="3BF5EE9D" w:rsidR="008827DF" w:rsidRPr="004D4998" w:rsidRDefault="008827DF" w:rsidP="002A2132">
      <w:pPr>
        <w:jc w:val="both"/>
        <w:rPr>
          <w:lang w:val="fr-FR"/>
        </w:rPr>
      </w:pPr>
      <w:r w:rsidRPr="004D4998">
        <w:rPr>
          <w:lang w:val="fr-FR"/>
        </w:rPr>
        <w:t xml:space="preserve">EN 2016, les </w:t>
      </w:r>
      <w:r w:rsidRPr="004D4998">
        <w:rPr>
          <w:b/>
          <w:lang w:val="fr-FR"/>
        </w:rPr>
        <w:t>nouvelles installations de renouvelables ont battu un nouveau record</w:t>
      </w:r>
      <w:r w:rsidRPr="004D4998">
        <w:rPr>
          <w:lang w:val="fr-FR"/>
        </w:rPr>
        <w:t xml:space="preserve"> avec 161 GW installés, faisant monter la capacité totale de </w:t>
      </w:r>
      <w:r w:rsidR="006E514A" w:rsidRPr="004D4998">
        <w:rPr>
          <w:lang w:val="fr-FR"/>
        </w:rPr>
        <w:t>p</w:t>
      </w:r>
      <w:r w:rsidRPr="004D4998">
        <w:rPr>
          <w:lang w:val="fr-FR"/>
        </w:rPr>
        <w:t xml:space="preserve">resque 9% par rapport à 2015, </w:t>
      </w:r>
      <w:r w:rsidR="00F71CF3">
        <w:rPr>
          <w:lang w:val="fr-FR"/>
        </w:rPr>
        <w:t>à</w:t>
      </w:r>
      <w:r w:rsidRPr="004D4998">
        <w:rPr>
          <w:lang w:val="fr-FR"/>
        </w:rPr>
        <w:t xml:space="preserve"> </w:t>
      </w:r>
      <w:r w:rsidR="00146E6F" w:rsidRPr="004D4998">
        <w:rPr>
          <w:lang w:val="fr-FR"/>
        </w:rPr>
        <w:t xml:space="preserve">2,017 GW. </w:t>
      </w:r>
      <w:r w:rsidRPr="004D4998">
        <w:rPr>
          <w:lang w:val="fr-FR"/>
        </w:rPr>
        <w:t>Le solaire photovoltaïque compte pour environ 47% de ces capacités addition</w:t>
      </w:r>
      <w:r w:rsidR="004D4998">
        <w:rPr>
          <w:lang w:val="fr-FR"/>
        </w:rPr>
        <w:t>n</w:t>
      </w:r>
      <w:r w:rsidRPr="004D4998">
        <w:rPr>
          <w:lang w:val="fr-FR"/>
        </w:rPr>
        <w:t>elles, suivi de l’éolien (34%) et l’hydroélectricité (15,5%).</w:t>
      </w:r>
    </w:p>
    <w:p w14:paraId="01AE7517" w14:textId="6B276F66" w:rsidR="008827DF" w:rsidRPr="004D4998" w:rsidRDefault="008827DF" w:rsidP="002A2132">
      <w:pPr>
        <w:jc w:val="both"/>
        <w:rPr>
          <w:b/>
          <w:lang w:val="fr-FR"/>
        </w:rPr>
      </w:pPr>
      <w:r w:rsidRPr="004D4998">
        <w:rPr>
          <w:b/>
          <w:lang w:val="fr-FR"/>
        </w:rPr>
        <w:t xml:space="preserve">Les énergies renouvelables deviennent l’option la plus économique. </w:t>
      </w:r>
      <w:r w:rsidRPr="004D4998">
        <w:rPr>
          <w:lang w:val="fr-FR"/>
        </w:rPr>
        <w:t xml:space="preserve">Des transactions récentes au Danemark, en Egypte, </w:t>
      </w:r>
      <w:r w:rsidR="00F71CF3">
        <w:rPr>
          <w:lang w:val="fr-FR"/>
        </w:rPr>
        <w:t xml:space="preserve">en </w:t>
      </w:r>
      <w:r w:rsidRPr="004D4998">
        <w:rPr>
          <w:lang w:val="fr-FR"/>
        </w:rPr>
        <w:t xml:space="preserve">Inde, </w:t>
      </w:r>
      <w:r w:rsidR="00F71CF3">
        <w:rPr>
          <w:lang w:val="fr-FR"/>
        </w:rPr>
        <w:t xml:space="preserve">au </w:t>
      </w:r>
      <w:r w:rsidRPr="004D4998">
        <w:rPr>
          <w:lang w:val="fr-FR"/>
        </w:rPr>
        <w:t xml:space="preserve">Mexique, </w:t>
      </w:r>
      <w:r w:rsidR="00F71CF3">
        <w:rPr>
          <w:lang w:val="fr-FR"/>
        </w:rPr>
        <w:t xml:space="preserve">au </w:t>
      </w:r>
      <w:r w:rsidRPr="004D4998">
        <w:rPr>
          <w:lang w:val="fr-FR"/>
        </w:rPr>
        <w:t>Pérou et aux E</w:t>
      </w:r>
      <w:r w:rsidR="002A2132" w:rsidRPr="004D4998">
        <w:rPr>
          <w:lang w:val="fr-FR"/>
        </w:rPr>
        <w:t>mirats Arabes Unis ont vu le coû</w:t>
      </w:r>
      <w:r w:rsidRPr="004D4998">
        <w:rPr>
          <w:lang w:val="fr-FR"/>
        </w:rPr>
        <w:t xml:space="preserve">t de l’électricité chuter à 0,05 dollar/KWh. Ce chiffre est bien en-dessous du coût de </w:t>
      </w:r>
      <w:r w:rsidR="00F71CF3">
        <w:rPr>
          <w:lang w:val="fr-FR"/>
        </w:rPr>
        <w:t>l’électricité d’origine</w:t>
      </w:r>
      <w:r w:rsidRPr="004D4998">
        <w:rPr>
          <w:lang w:val="fr-FR"/>
        </w:rPr>
        <w:t xml:space="preserve"> fossile ou nucléaire produite dans ces pays. Les lauréats de deux récents appels d’offre en </w:t>
      </w:r>
      <w:r w:rsidR="00F71CF3">
        <w:rPr>
          <w:lang w:val="fr-FR"/>
        </w:rPr>
        <w:t>Allemagne ont ainsi pu proposer de tels tarifs sur la base du prix de gros de l’électricité,</w:t>
      </w:r>
      <w:r w:rsidRPr="004D4998">
        <w:rPr>
          <w:lang w:val="fr-FR"/>
        </w:rPr>
        <w:t xml:space="preserve"> </w:t>
      </w:r>
      <w:r w:rsidR="00F71CF3">
        <w:rPr>
          <w:lang w:val="fr-FR"/>
        </w:rPr>
        <w:t>sans subventions publiques</w:t>
      </w:r>
      <w:r w:rsidRPr="004D4998">
        <w:rPr>
          <w:lang w:val="fr-FR"/>
        </w:rPr>
        <w:t xml:space="preserve">, </w:t>
      </w:r>
      <w:r w:rsidR="00F71CF3">
        <w:rPr>
          <w:lang w:val="fr-FR"/>
        </w:rPr>
        <w:t>ce qui démontre</w:t>
      </w:r>
      <w:r w:rsidRPr="004D4998">
        <w:rPr>
          <w:lang w:val="fr-FR"/>
        </w:rPr>
        <w:t xml:space="preserve"> </w:t>
      </w:r>
      <w:r w:rsidRPr="004D4998">
        <w:rPr>
          <w:i/>
          <w:lang w:val="fr-FR"/>
        </w:rPr>
        <w:t>de facto</w:t>
      </w:r>
      <w:r w:rsidRPr="004D4998">
        <w:rPr>
          <w:lang w:val="fr-FR"/>
        </w:rPr>
        <w:t xml:space="preserve"> que les renou</w:t>
      </w:r>
      <w:r w:rsidR="002A2132" w:rsidRPr="004D4998">
        <w:rPr>
          <w:lang w:val="fr-FR"/>
        </w:rPr>
        <w:t>v</w:t>
      </w:r>
      <w:r w:rsidRPr="004D4998">
        <w:rPr>
          <w:lang w:val="fr-FR"/>
        </w:rPr>
        <w:t>elables sont l’option la plus économique.</w:t>
      </w:r>
    </w:p>
    <w:p w14:paraId="75A16FF4" w14:textId="5FBAD212" w:rsidR="00146E6F" w:rsidRPr="004D4998" w:rsidRDefault="00160A51" w:rsidP="002A2132">
      <w:pPr>
        <w:jc w:val="both"/>
        <w:rPr>
          <w:lang w:val="fr-FR"/>
        </w:rPr>
      </w:pPr>
      <w:r w:rsidRPr="004D4998">
        <w:rPr>
          <w:b/>
          <w:lang w:val="fr-FR"/>
        </w:rPr>
        <w:t>La nécessité de disposer d’un</w:t>
      </w:r>
      <w:r w:rsidR="00F71CF3">
        <w:rPr>
          <w:b/>
          <w:lang w:val="fr-FR"/>
        </w:rPr>
        <w:t>e « charge de base » (« </w:t>
      </w:r>
      <w:proofErr w:type="spellStart"/>
      <w:r w:rsidR="00F71CF3">
        <w:rPr>
          <w:b/>
          <w:lang w:val="fr-FR"/>
        </w:rPr>
        <w:t>baseload</w:t>
      </w:r>
      <w:proofErr w:type="spellEnd"/>
      <w:r w:rsidR="00F71CF3">
        <w:rPr>
          <w:b/>
          <w:lang w:val="fr-FR"/>
        </w:rPr>
        <w:t> »)</w:t>
      </w:r>
      <w:r w:rsidRPr="004D4998">
        <w:rPr>
          <w:b/>
          <w:lang w:val="fr-FR"/>
        </w:rPr>
        <w:t xml:space="preserve"> est un mythe</w:t>
      </w:r>
      <w:r w:rsidR="00146E6F" w:rsidRPr="004D4998">
        <w:rPr>
          <w:b/>
          <w:lang w:val="fr-FR"/>
        </w:rPr>
        <w:t>.</w:t>
      </w:r>
      <w:r w:rsidR="00146E6F" w:rsidRPr="004D4998">
        <w:rPr>
          <w:lang w:val="fr-FR"/>
        </w:rPr>
        <w:t xml:space="preserve"> </w:t>
      </w:r>
      <w:r w:rsidRPr="004D4998">
        <w:rPr>
          <w:lang w:val="fr-FR"/>
        </w:rPr>
        <w:t xml:space="preserve">Intégrer au réseau une large quantité d’énergie renouvelable est </w:t>
      </w:r>
      <w:r w:rsidR="002A2132" w:rsidRPr="004D4998">
        <w:rPr>
          <w:lang w:val="fr-FR"/>
        </w:rPr>
        <w:t>faisable</w:t>
      </w:r>
      <w:r w:rsidRPr="004D4998">
        <w:rPr>
          <w:lang w:val="fr-FR"/>
        </w:rPr>
        <w:t xml:space="preserve"> sans avoir recours à une</w:t>
      </w:r>
      <w:r w:rsidR="00F71CF3">
        <w:rPr>
          <w:lang w:val="fr-FR"/>
        </w:rPr>
        <w:t xml:space="preserve"> « charge de base » d’origine</w:t>
      </w:r>
      <w:r w:rsidRPr="004D4998">
        <w:rPr>
          <w:lang w:val="fr-FR"/>
        </w:rPr>
        <w:t xml:space="preserve"> fossil</w:t>
      </w:r>
      <w:r w:rsidR="00F71CF3">
        <w:rPr>
          <w:lang w:val="fr-FR"/>
        </w:rPr>
        <w:t>e</w:t>
      </w:r>
      <w:r w:rsidRPr="004D4998">
        <w:rPr>
          <w:lang w:val="fr-FR"/>
        </w:rPr>
        <w:t xml:space="preserve"> ou nucléaire, </w:t>
      </w:r>
      <w:r w:rsidR="00F71CF3">
        <w:rPr>
          <w:lang w:val="fr-FR"/>
        </w:rPr>
        <w:t>à condition de garantir</w:t>
      </w:r>
      <w:r w:rsidRPr="004D4998">
        <w:rPr>
          <w:lang w:val="fr-FR"/>
        </w:rPr>
        <w:t xml:space="preserve"> suffisamment de flexibilité: </w:t>
      </w:r>
      <w:r w:rsidR="001F6AB9" w:rsidRPr="004D4998">
        <w:rPr>
          <w:lang w:val="fr-FR"/>
        </w:rPr>
        <w:t xml:space="preserve">interconnexions au réseau, </w:t>
      </w:r>
      <w:r w:rsidR="00CC4F19">
        <w:rPr>
          <w:lang w:val="fr-FR"/>
        </w:rPr>
        <w:t xml:space="preserve">- </w:t>
      </w:r>
      <w:r w:rsidR="001F6AB9" w:rsidRPr="004D4998">
        <w:rPr>
          <w:lang w:val="fr-FR"/>
        </w:rPr>
        <w:t xml:space="preserve">couplage </w:t>
      </w:r>
      <w:r w:rsidR="00CC4F19">
        <w:rPr>
          <w:lang w:val="fr-FR"/>
        </w:rPr>
        <w:t xml:space="preserve">électricité-chaleur, </w:t>
      </w:r>
      <w:r w:rsidR="001F6AB9" w:rsidRPr="004D4998">
        <w:rPr>
          <w:lang w:val="fr-FR"/>
        </w:rPr>
        <w:t xml:space="preserve">nouvelles technologies </w:t>
      </w:r>
      <w:r w:rsidR="00CC4F19">
        <w:rPr>
          <w:lang w:val="fr-FR"/>
        </w:rPr>
        <w:t>informatiques et de stockage</w:t>
      </w:r>
      <w:r w:rsidR="001F6AB9" w:rsidRPr="004D4998">
        <w:rPr>
          <w:lang w:val="fr-FR"/>
        </w:rPr>
        <w:t>, véhicules é</w:t>
      </w:r>
      <w:r w:rsidR="002A2132" w:rsidRPr="004D4998">
        <w:rPr>
          <w:lang w:val="fr-FR"/>
        </w:rPr>
        <w:t>l</w:t>
      </w:r>
      <w:r w:rsidR="001F6AB9" w:rsidRPr="004D4998">
        <w:rPr>
          <w:lang w:val="fr-FR"/>
        </w:rPr>
        <w:t xml:space="preserve">ectriques ou encore pompes à chaleur sont autant de réponses. Ce type de flexibilité permet </w:t>
      </w:r>
      <w:r w:rsidR="00CC4F19" w:rsidRPr="004D4998">
        <w:rPr>
          <w:lang w:val="fr-FR"/>
        </w:rPr>
        <w:t xml:space="preserve">non seulement </w:t>
      </w:r>
      <w:r w:rsidR="001F6AB9" w:rsidRPr="004D4998">
        <w:rPr>
          <w:lang w:val="fr-FR"/>
        </w:rPr>
        <w:t xml:space="preserve">d’équilibrer les sources dites variables mais aussi d’optimiser le système et de réduire les coûts de production globaux. Il n’est donc </w:t>
      </w:r>
      <w:r w:rsidR="00CC4F19">
        <w:rPr>
          <w:lang w:val="fr-FR"/>
        </w:rPr>
        <w:t>pas</w:t>
      </w:r>
      <w:r w:rsidR="001F6AB9" w:rsidRPr="004D4998">
        <w:rPr>
          <w:lang w:val="fr-FR"/>
        </w:rPr>
        <w:t xml:space="preserve"> surprenant que de </w:t>
      </w:r>
      <w:r w:rsidR="00CC4F19">
        <w:rPr>
          <w:lang w:val="fr-FR"/>
        </w:rPr>
        <w:t xml:space="preserve">plus en plus  de </w:t>
      </w:r>
      <w:r w:rsidR="001F6AB9" w:rsidRPr="004D4998">
        <w:rPr>
          <w:lang w:val="fr-FR"/>
        </w:rPr>
        <w:t xml:space="preserve">pays </w:t>
      </w:r>
      <w:r w:rsidR="00CC4F19">
        <w:rPr>
          <w:lang w:val="fr-FR"/>
        </w:rPr>
        <w:t>puissent atteindre</w:t>
      </w:r>
      <w:r w:rsidR="001F6AB9" w:rsidRPr="004D4998">
        <w:rPr>
          <w:lang w:val="fr-FR"/>
        </w:rPr>
        <w:t xml:space="preserve"> un niveau de 100% renouvelables.</w:t>
      </w:r>
      <w:r w:rsidR="002A2132" w:rsidRPr="004D4998">
        <w:rPr>
          <w:lang w:val="fr-FR"/>
        </w:rPr>
        <w:t xml:space="preserve"> En</w:t>
      </w:r>
      <w:r w:rsidR="001F6AB9" w:rsidRPr="004D4998">
        <w:rPr>
          <w:lang w:val="fr-FR"/>
        </w:rPr>
        <w:t xml:space="preserve"> 2016, le Danemark et l’Allemagne ont parfaitement géré des pics </w:t>
      </w:r>
      <w:r w:rsidR="00CC4F19">
        <w:rPr>
          <w:lang w:val="fr-FR"/>
        </w:rPr>
        <w:t>de</w:t>
      </w:r>
      <w:r w:rsidR="002A2132" w:rsidRPr="004D4998">
        <w:rPr>
          <w:lang w:val="fr-FR"/>
        </w:rPr>
        <w:t xml:space="preserve"> </w:t>
      </w:r>
      <w:r w:rsidR="001F6AB9" w:rsidRPr="004D4998">
        <w:rPr>
          <w:lang w:val="fr-FR"/>
        </w:rPr>
        <w:t xml:space="preserve">140% </w:t>
      </w:r>
      <w:r w:rsidR="00CC4F19">
        <w:rPr>
          <w:lang w:val="fr-FR"/>
        </w:rPr>
        <w:t>et</w:t>
      </w:r>
      <w:r w:rsidR="001F6AB9" w:rsidRPr="004D4998">
        <w:rPr>
          <w:lang w:val="fr-FR"/>
        </w:rPr>
        <w:t xml:space="preserve"> 86.3%</w:t>
      </w:r>
      <w:r w:rsidR="00CC4F19">
        <w:rPr>
          <w:lang w:val="fr-FR"/>
        </w:rPr>
        <w:t>, respectivement</w:t>
      </w:r>
      <w:r w:rsidR="001F6AB9" w:rsidRPr="004D4998">
        <w:rPr>
          <w:lang w:val="fr-FR"/>
        </w:rPr>
        <w:t>.</w:t>
      </w:r>
    </w:p>
    <w:p w14:paraId="278D3473" w14:textId="5DA384AB" w:rsidR="001F6AB9" w:rsidRPr="00CC4F19" w:rsidRDefault="001F6AB9" w:rsidP="002A2132">
      <w:pPr>
        <w:pStyle w:val="CommentText"/>
        <w:spacing w:line="276" w:lineRule="auto"/>
        <w:jc w:val="both"/>
        <w:rPr>
          <w:b/>
          <w:sz w:val="22"/>
          <w:szCs w:val="22"/>
          <w:lang w:val="fr-FR"/>
        </w:rPr>
      </w:pPr>
      <w:r w:rsidRPr="004D4998">
        <w:rPr>
          <w:b/>
          <w:sz w:val="22"/>
          <w:szCs w:val="22"/>
          <w:lang w:val="fr-FR"/>
        </w:rPr>
        <w:t>Les émissions de CO2 lié</w:t>
      </w:r>
      <w:r w:rsidR="00CC4F19">
        <w:rPr>
          <w:b/>
          <w:sz w:val="22"/>
          <w:szCs w:val="22"/>
          <w:lang w:val="fr-FR"/>
        </w:rPr>
        <w:t>e</w:t>
      </w:r>
      <w:r w:rsidRPr="004D4998">
        <w:rPr>
          <w:b/>
          <w:sz w:val="22"/>
          <w:szCs w:val="22"/>
          <w:lang w:val="fr-FR"/>
        </w:rPr>
        <w:t>s à la consommation</w:t>
      </w:r>
      <w:r w:rsidR="004C1EB0" w:rsidRPr="004D4998">
        <w:rPr>
          <w:b/>
          <w:sz w:val="22"/>
          <w:szCs w:val="22"/>
          <w:lang w:val="fr-FR"/>
        </w:rPr>
        <w:t xml:space="preserve"> d’énergie</w:t>
      </w:r>
      <w:r w:rsidRPr="004D4998">
        <w:rPr>
          <w:b/>
          <w:sz w:val="22"/>
          <w:szCs w:val="22"/>
          <w:lang w:val="fr-FR"/>
        </w:rPr>
        <w:t xml:space="preserve"> des secteurs de l’industrie et de</w:t>
      </w:r>
      <w:r w:rsidR="00CC4F19">
        <w:rPr>
          <w:b/>
          <w:sz w:val="22"/>
          <w:szCs w:val="22"/>
          <w:lang w:val="fr-FR"/>
        </w:rPr>
        <w:t xml:space="preserve">s </w:t>
      </w:r>
      <w:r w:rsidRPr="004D4998">
        <w:rPr>
          <w:b/>
          <w:sz w:val="22"/>
          <w:szCs w:val="22"/>
          <w:lang w:val="fr-FR"/>
        </w:rPr>
        <w:t>énergie</w:t>
      </w:r>
      <w:r w:rsidR="00CC4F19">
        <w:rPr>
          <w:b/>
          <w:sz w:val="22"/>
          <w:szCs w:val="22"/>
          <w:lang w:val="fr-FR"/>
        </w:rPr>
        <w:t>s</w:t>
      </w:r>
      <w:r w:rsidRPr="004D4998">
        <w:rPr>
          <w:b/>
          <w:sz w:val="22"/>
          <w:szCs w:val="22"/>
          <w:lang w:val="fr-FR"/>
        </w:rPr>
        <w:t xml:space="preserve"> fossile</w:t>
      </w:r>
      <w:r w:rsidR="00CC4F19">
        <w:rPr>
          <w:b/>
          <w:sz w:val="22"/>
          <w:szCs w:val="22"/>
          <w:lang w:val="fr-FR"/>
        </w:rPr>
        <w:t>s</w:t>
      </w:r>
      <w:r w:rsidRPr="004D4998">
        <w:rPr>
          <w:b/>
          <w:sz w:val="22"/>
          <w:szCs w:val="22"/>
          <w:lang w:val="fr-FR"/>
        </w:rPr>
        <w:t xml:space="preserve"> sont resté</w:t>
      </w:r>
      <w:r w:rsidR="00CC4F19">
        <w:rPr>
          <w:b/>
          <w:sz w:val="22"/>
          <w:szCs w:val="22"/>
          <w:lang w:val="fr-FR"/>
        </w:rPr>
        <w:t>e</w:t>
      </w:r>
      <w:r w:rsidRPr="004D4998">
        <w:rPr>
          <w:b/>
          <w:sz w:val="22"/>
          <w:szCs w:val="22"/>
          <w:lang w:val="fr-FR"/>
        </w:rPr>
        <w:t>s stable</w:t>
      </w:r>
      <w:r w:rsidR="002A2132" w:rsidRPr="004D4998">
        <w:rPr>
          <w:b/>
          <w:sz w:val="22"/>
          <w:szCs w:val="22"/>
          <w:lang w:val="fr-FR"/>
        </w:rPr>
        <w:t>s</w:t>
      </w:r>
      <w:r w:rsidRPr="004D4998">
        <w:rPr>
          <w:b/>
          <w:sz w:val="22"/>
          <w:szCs w:val="22"/>
          <w:lang w:val="fr-FR"/>
        </w:rPr>
        <w:t xml:space="preserve"> pour la troisième année </w:t>
      </w:r>
      <w:r w:rsidR="002A2132" w:rsidRPr="004D4998">
        <w:rPr>
          <w:b/>
          <w:sz w:val="22"/>
          <w:szCs w:val="22"/>
          <w:lang w:val="fr-FR"/>
        </w:rPr>
        <w:t>consé</w:t>
      </w:r>
      <w:r w:rsidRPr="004D4998">
        <w:rPr>
          <w:b/>
          <w:sz w:val="22"/>
          <w:szCs w:val="22"/>
          <w:lang w:val="fr-FR"/>
        </w:rPr>
        <w:t xml:space="preserve">cutive malgré une croissance de 3% de </w:t>
      </w:r>
      <w:r w:rsidRPr="004D4998">
        <w:rPr>
          <w:sz w:val="22"/>
          <w:szCs w:val="22"/>
          <w:lang w:val="fr-FR"/>
        </w:rPr>
        <w:t>l’économie m</w:t>
      </w:r>
      <w:r w:rsidR="00F70FD3" w:rsidRPr="004D4998">
        <w:rPr>
          <w:sz w:val="22"/>
          <w:szCs w:val="22"/>
          <w:lang w:val="fr-FR"/>
        </w:rPr>
        <w:t xml:space="preserve">ondiale et une demande </w:t>
      </w:r>
      <w:r w:rsidRPr="004D4998">
        <w:rPr>
          <w:sz w:val="22"/>
          <w:szCs w:val="22"/>
          <w:lang w:val="fr-FR"/>
        </w:rPr>
        <w:t>d’énergie</w:t>
      </w:r>
      <w:r w:rsidR="006D4D7E">
        <w:rPr>
          <w:sz w:val="22"/>
          <w:szCs w:val="22"/>
          <w:lang w:val="fr-FR"/>
        </w:rPr>
        <w:t xml:space="preserve"> </w:t>
      </w:r>
      <w:r w:rsidR="006D4D7E" w:rsidRPr="004D4998">
        <w:rPr>
          <w:sz w:val="22"/>
          <w:szCs w:val="22"/>
          <w:lang w:val="fr-FR"/>
        </w:rPr>
        <w:t>en hausse</w:t>
      </w:r>
      <w:r w:rsidRPr="004D4998">
        <w:rPr>
          <w:sz w:val="22"/>
          <w:szCs w:val="22"/>
          <w:lang w:val="fr-FR"/>
        </w:rPr>
        <w:t xml:space="preserve">. </w:t>
      </w:r>
      <w:r w:rsidR="00CC4F19">
        <w:rPr>
          <w:sz w:val="22"/>
          <w:szCs w:val="22"/>
          <w:lang w:val="fr-FR"/>
        </w:rPr>
        <w:t>Ceci s’explique principalement par le</w:t>
      </w:r>
      <w:r w:rsidR="002A2132" w:rsidRPr="004D4998">
        <w:rPr>
          <w:sz w:val="22"/>
          <w:szCs w:val="22"/>
          <w:lang w:val="fr-FR"/>
        </w:rPr>
        <w:t xml:space="preserve"> déclin de l’utilisation du </w:t>
      </w:r>
      <w:r w:rsidR="00C21717">
        <w:rPr>
          <w:sz w:val="22"/>
          <w:szCs w:val="22"/>
          <w:lang w:val="fr-FR"/>
        </w:rPr>
        <w:t>charbon, mais aussi par</w:t>
      </w:r>
      <w:r w:rsidRPr="004D4998">
        <w:rPr>
          <w:sz w:val="22"/>
          <w:szCs w:val="22"/>
          <w:lang w:val="fr-FR"/>
        </w:rPr>
        <w:t xml:space="preserve"> la croissance des énergies renouvelables et des mesures d’efficacité énergétique.</w:t>
      </w:r>
    </w:p>
    <w:p w14:paraId="4B19C76F" w14:textId="77777777" w:rsidR="000F6F09" w:rsidRDefault="000F6F09" w:rsidP="002A2132">
      <w:pPr>
        <w:jc w:val="both"/>
        <w:rPr>
          <w:lang w:val="fr-FR"/>
        </w:rPr>
      </w:pPr>
    </w:p>
    <w:p w14:paraId="3704D746" w14:textId="77777777" w:rsidR="000F6F09" w:rsidRDefault="000F6F09" w:rsidP="002A2132">
      <w:pPr>
        <w:jc w:val="both"/>
        <w:rPr>
          <w:lang w:val="fr-FR"/>
        </w:rPr>
      </w:pPr>
    </w:p>
    <w:p w14:paraId="573D7F7F" w14:textId="47FCDE43" w:rsidR="00E956C7" w:rsidRPr="004D4998" w:rsidRDefault="00C21717" w:rsidP="002A2132">
      <w:pPr>
        <w:jc w:val="both"/>
        <w:rPr>
          <w:lang w:val="fr-FR"/>
        </w:rPr>
      </w:pPr>
      <w:r>
        <w:rPr>
          <w:lang w:val="fr-FR"/>
        </w:rPr>
        <w:lastRenderedPageBreak/>
        <w:t>Parmi les</w:t>
      </w:r>
      <w:r w:rsidR="00E956C7" w:rsidRPr="004D4998">
        <w:rPr>
          <w:lang w:val="fr-FR"/>
        </w:rPr>
        <w:t xml:space="preserve"> autres tendances </w:t>
      </w:r>
      <w:r>
        <w:rPr>
          <w:lang w:val="fr-FR"/>
        </w:rPr>
        <w:t xml:space="preserve">mises en évidence </w:t>
      </w:r>
      <w:r w:rsidR="00E956C7" w:rsidRPr="004D4998">
        <w:rPr>
          <w:lang w:val="fr-FR"/>
        </w:rPr>
        <w:t>:</w:t>
      </w:r>
    </w:p>
    <w:p w14:paraId="638EC26C" w14:textId="6AC127F7" w:rsidR="00146E6F" w:rsidRPr="004D4998" w:rsidRDefault="00E956C7" w:rsidP="002A2132">
      <w:pPr>
        <w:jc w:val="both"/>
        <w:rPr>
          <w:b/>
          <w:lang w:val="fr-FR"/>
        </w:rPr>
      </w:pPr>
      <w:r w:rsidRPr="004D4998">
        <w:rPr>
          <w:b/>
          <w:lang w:val="fr-FR"/>
        </w:rPr>
        <w:t xml:space="preserve">Les innovations et percées technologiques dans le domaine </w:t>
      </w:r>
      <w:r w:rsidR="002A2132" w:rsidRPr="004D4998">
        <w:rPr>
          <w:b/>
          <w:lang w:val="fr-FR"/>
        </w:rPr>
        <w:t>du stockage</w:t>
      </w:r>
      <w:r w:rsidR="00C21717">
        <w:rPr>
          <w:b/>
          <w:lang w:val="fr-FR"/>
        </w:rPr>
        <w:t xml:space="preserve"> vont permettre</w:t>
      </w:r>
      <w:r w:rsidRPr="004D4998">
        <w:rPr>
          <w:b/>
          <w:lang w:val="fr-FR"/>
        </w:rPr>
        <w:t xml:space="preserve"> encore plus de flexibilité dans la gestion du système énergétique</w:t>
      </w:r>
      <w:r w:rsidRPr="004D4998">
        <w:rPr>
          <w:lang w:val="fr-FR"/>
        </w:rPr>
        <w:t>.</w:t>
      </w:r>
      <w:r w:rsidR="006D4D7E">
        <w:rPr>
          <w:b/>
          <w:lang w:val="fr-FR"/>
        </w:rPr>
        <w:t xml:space="preserve"> En</w:t>
      </w:r>
      <w:r w:rsidRPr="004D4998">
        <w:rPr>
          <w:b/>
          <w:lang w:val="fr-FR"/>
        </w:rPr>
        <w:t xml:space="preserve"> 2016, environ </w:t>
      </w:r>
      <w:r w:rsidR="00C21717">
        <w:rPr>
          <w:rFonts w:ascii="Calibri" w:hAnsi="Calibri"/>
          <w:lang w:val="fr-FR"/>
        </w:rPr>
        <w:t>0,</w:t>
      </w:r>
      <w:r w:rsidR="00146E6F" w:rsidRPr="004D4998">
        <w:rPr>
          <w:rFonts w:ascii="Calibri" w:hAnsi="Calibri"/>
          <w:lang w:val="fr-FR"/>
        </w:rPr>
        <w:t xml:space="preserve">8 GW </w:t>
      </w:r>
      <w:r w:rsidRPr="004D4998">
        <w:rPr>
          <w:rFonts w:ascii="Calibri" w:hAnsi="Calibri"/>
          <w:lang w:val="fr-FR"/>
        </w:rPr>
        <w:t>de capacité de stockage avancé sont devenues opération</w:t>
      </w:r>
      <w:r w:rsidR="00C21717">
        <w:rPr>
          <w:rFonts w:ascii="Calibri" w:hAnsi="Calibri"/>
          <w:lang w:val="fr-FR"/>
        </w:rPr>
        <w:t>n</w:t>
      </w:r>
      <w:r w:rsidRPr="004D4998">
        <w:rPr>
          <w:rFonts w:ascii="Calibri" w:hAnsi="Calibri"/>
          <w:lang w:val="fr-FR"/>
        </w:rPr>
        <w:t xml:space="preserve">elles, amenant le niveau total estimé à </w:t>
      </w:r>
      <w:r w:rsidR="00C21717">
        <w:rPr>
          <w:rFonts w:ascii="Calibri" w:hAnsi="Calibri"/>
          <w:lang w:val="fr-FR"/>
        </w:rPr>
        <w:t>6,</w:t>
      </w:r>
      <w:r w:rsidR="00146E6F" w:rsidRPr="004D4998">
        <w:rPr>
          <w:rFonts w:ascii="Calibri" w:hAnsi="Calibri"/>
          <w:lang w:val="fr-FR"/>
        </w:rPr>
        <w:t>4 GW.</w:t>
      </w:r>
    </w:p>
    <w:p w14:paraId="5FDC0A66" w14:textId="6EB9A152" w:rsidR="00E956C7" w:rsidRPr="004D4998" w:rsidRDefault="002A0F1D" w:rsidP="002A2132">
      <w:pPr>
        <w:jc w:val="both"/>
        <w:rPr>
          <w:lang w:val="fr-FR"/>
        </w:rPr>
      </w:pPr>
      <w:r w:rsidRPr="004D4998">
        <w:rPr>
          <w:b/>
          <w:lang w:val="fr-FR"/>
        </w:rPr>
        <w:t>Le m</w:t>
      </w:r>
      <w:r w:rsidR="00A46681" w:rsidRPr="004D4998">
        <w:rPr>
          <w:b/>
          <w:lang w:val="fr-FR"/>
        </w:rPr>
        <w:t xml:space="preserve">arché des </w:t>
      </w:r>
      <w:r w:rsidR="00C21717">
        <w:rPr>
          <w:b/>
          <w:lang w:val="fr-FR"/>
        </w:rPr>
        <w:t>« </w:t>
      </w:r>
      <w:r w:rsidR="00A46681" w:rsidRPr="004D4998">
        <w:rPr>
          <w:b/>
          <w:lang w:val="fr-FR"/>
        </w:rPr>
        <w:t>mini-</w:t>
      </w:r>
      <w:r w:rsidR="00C21717">
        <w:rPr>
          <w:b/>
          <w:lang w:val="fr-FR"/>
        </w:rPr>
        <w:t>réseaux »</w:t>
      </w:r>
      <w:r w:rsidR="00E956C7" w:rsidRPr="004D4998">
        <w:rPr>
          <w:b/>
          <w:lang w:val="fr-FR"/>
        </w:rPr>
        <w:t xml:space="preserve"> et des </w:t>
      </w:r>
      <w:r w:rsidR="00A46681" w:rsidRPr="004D4998">
        <w:rPr>
          <w:b/>
          <w:lang w:val="fr-FR"/>
        </w:rPr>
        <w:t>systè</w:t>
      </w:r>
      <w:r w:rsidR="00E956C7" w:rsidRPr="004D4998">
        <w:rPr>
          <w:b/>
          <w:lang w:val="fr-FR"/>
        </w:rPr>
        <w:t>m</w:t>
      </w:r>
      <w:r w:rsidR="00A46681" w:rsidRPr="004D4998">
        <w:rPr>
          <w:b/>
          <w:lang w:val="fr-FR"/>
        </w:rPr>
        <w:t>e</w:t>
      </w:r>
      <w:r w:rsidR="00E956C7" w:rsidRPr="004D4998">
        <w:rPr>
          <w:b/>
          <w:lang w:val="fr-FR"/>
        </w:rPr>
        <w:t xml:space="preserve">s </w:t>
      </w:r>
      <w:r w:rsidRPr="004D4998">
        <w:rPr>
          <w:b/>
          <w:lang w:val="fr-FR"/>
        </w:rPr>
        <w:t xml:space="preserve">autonomes évolue très rapidement. De surcroît, </w:t>
      </w:r>
      <w:r w:rsidR="00E956C7" w:rsidRPr="004D4998">
        <w:rPr>
          <w:b/>
          <w:lang w:val="fr-FR"/>
        </w:rPr>
        <w:t>les modèles</w:t>
      </w:r>
      <w:r w:rsidR="00C21717">
        <w:rPr>
          <w:b/>
          <w:lang w:val="fr-FR"/>
        </w:rPr>
        <w:t xml:space="preserve"> économiques « </w:t>
      </w:r>
      <w:proofErr w:type="spellStart"/>
      <w:r w:rsidR="00146E6F" w:rsidRPr="004D4998">
        <w:rPr>
          <w:b/>
          <w:lang w:val="fr-FR"/>
        </w:rPr>
        <w:t>Pay</w:t>
      </w:r>
      <w:proofErr w:type="spellEnd"/>
      <w:r w:rsidR="00146E6F" w:rsidRPr="004D4998">
        <w:rPr>
          <w:b/>
          <w:lang w:val="fr-FR"/>
        </w:rPr>
        <w:t>-As-You-Go</w:t>
      </w:r>
      <w:r w:rsidR="00C21717">
        <w:rPr>
          <w:b/>
          <w:lang w:val="fr-FR"/>
        </w:rPr>
        <w:t> »</w:t>
      </w:r>
      <w:r w:rsidR="00E956C7" w:rsidRPr="004D4998">
        <w:rPr>
          <w:b/>
          <w:lang w:val="fr-FR"/>
        </w:rPr>
        <w:t xml:space="preserve"> (</w:t>
      </w:r>
      <w:proofErr w:type="spellStart"/>
      <w:r w:rsidR="00E956C7" w:rsidRPr="004D4998">
        <w:rPr>
          <w:b/>
          <w:lang w:val="fr-FR"/>
        </w:rPr>
        <w:t>PAYG</w:t>
      </w:r>
      <w:proofErr w:type="spellEnd"/>
      <w:r w:rsidR="00E956C7" w:rsidRPr="004D4998">
        <w:rPr>
          <w:b/>
          <w:lang w:val="fr-FR"/>
        </w:rPr>
        <w:t>)</w:t>
      </w:r>
      <w:r w:rsidR="00146E6F" w:rsidRPr="004D4998">
        <w:rPr>
          <w:b/>
          <w:lang w:val="fr-FR"/>
        </w:rPr>
        <w:t xml:space="preserve"> </w:t>
      </w:r>
      <w:r w:rsidR="00C21717">
        <w:rPr>
          <w:b/>
          <w:lang w:val="fr-FR"/>
        </w:rPr>
        <w:t>rendus possibles</w:t>
      </w:r>
      <w:r w:rsidR="00E956C7" w:rsidRPr="004D4998">
        <w:rPr>
          <w:b/>
          <w:lang w:val="fr-FR"/>
        </w:rPr>
        <w:t xml:space="preserve"> par les technologies mobiles explosent</w:t>
      </w:r>
      <w:r w:rsidR="00146E6F" w:rsidRPr="004D4998">
        <w:rPr>
          <w:b/>
          <w:lang w:val="fr-FR"/>
        </w:rPr>
        <w:t>.</w:t>
      </w:r>
      <w:r w:rsidR="00E956C7" w:rsidRPr="004D4998">
        <w:rPr>
          <w:b/>
          <w:lang w:val="fr-FR"/>
        </w:rPr>
        <w:t xml:space="preserve"> </w:t>
      </w:r>
      <w:r w:rsidR="002A2132" w:rsidRPr="004D4998">
        <w:rPr>
          <w:lang w:val="fr-FR"/>
        </w:rPr>
        <w:t>En</w:t>
      </w:r>
      <w:r w:rsidR="00E956C7" w:rsidRPr="004D4998">
        <w:rPr>
          <w:lang w:val="fr-FR"/>
        </w:rPr>
        <w:t xml:space="preserve"> 2012, les investissements dans des </w:t>
      </w:r>
      <w:r w:rsidRPr="004D4998">
        <w:rPr>
          <w:lang w:val="fr-FR"/>
        </w:rPr>
        <w:t>systè</w:t>
      </w:r>
      <w:r w:rsidR="00E956C7" w:rsidRPr="004D4998">
        <w:rPr>
          <w:lang w:val="fr-FR"/>
        </w:rPr>
        <w:t>m</w:t>
      </w:r>
      <w:r w:rsidRPr="004D4998">
        <w:rPr>
          <w:lang w:val="fr-FR"/>
        </w:rPr>
        <w:t>e</w:t>
      </w:r>
      <w:r w:rsidR="00E956C7" w:rsidRPr="004D4998">
        <w:rPr>
          <w:lang w:val="fr-FR"/>
        </w:rPr>
        <w:t>s PAYG de com</w:t>
      </w:r>
      <w:r w:rsidRPr="004D4998">
        <w:rPr>
          <w:lang w:val="fr-FR"/>
        </w:rPr>
        <w:t>p</w:t>
      </w:r>
      <w:r w:rsidR="00E956C7" w:rsidRPr="004D4998">
        <w:rPr>
          <w:lang w:val="fr-FR"/>
        </w:rPr>
        <w:t>agnies solaires se limitaient à 3 millions de dollars; en 2016, ce chiffre est passé à 223 millions! (en croissance par rapport au chiffre de 2015: 158 millions).</w:t>
      </w:r>
    </w:p>
    <w:p w14:paraId="76AB03A3" w14:textId="5BA337F7" w:rsidR="002A0F1D" w:rsidRPr="004D4998" w:rsidRDefault="00146E6F" w:rsidP="002A2132">
      <w:pPr>
        <w:jc w:val="both"/>
        <w:rPr>
          <w:i/>
          <w:lang w:val="fr-FR"/>
        </w:rPr>
      </w:pPr>
      <w:proofErr w:type="spellStart"/>
      <w:r w:rsidRPr="004D4998">
        <w:rPr>
          <w:b/>
          <w:lang w:val="fr-FR"/>
        </w:rPr>
        <w:t>Arthouros</w:t>
      </w:r>
      <w:proofErr w:type="spellEnd"/>
      <w:r w:rsidRPr="004D4998">
        <w:rPr>
          <w:b/>
          <w:lang w:val="fr-FR"/>
        </w:rPr>
        <w:t xml:space="preserve"> </w:t>
      </w:r>
      <w:proofErr w:type="spellStart"/>
      <w:r w:rsidRPr="004D4998">
        <w:rPr>
          <w:b/>
          <w:lang w:val="fr-FR"/>
        </w:rPr>
        <w:t>Zervos</w:t>
      </w:r>
      <w:proofErr w:type="spellEnd"/>
      <w:r w:rsidRPr="004D4998">
        <w:rPr>
          <w:b/>
          <w:lang w:val="fr-FR"/>
        </w:rPr>
        <w:t xml:space="preserve">, </w:t>
      </w:r>
      <w:r w:rsidR="002A0F1D" w:rsidRPr="004D4998">
        <w:rPr>
          <w:b/>
          <w:lang w:val="fr-FR"/>
        </w:rPr>
        <w:t xml:space="preserve">Président de REN21 </w:t>
      </w:r>
      <w:r w:rsidR="002A0F1D" w:rsidRPr="004D4998">
        <w:rPr>
          <w:lang w:val="fr-FR"/>
        </w:rPr>
        <w:t xml:space="preserve">déclare: “ </w:t>
      </w:r>
      <w:r w:rsidR="002A0F1D" w:rsidRPr="004D4998">
        <w:rPr>
          <w:i/>
          <w:lang w:val="fr-FR"/>
        </w:rPr>
        <w:t xml:space="preserve">Le monde ajoute chaque année encore plus de capacité renouvelable, plus qu’il n’ajoute de capacité fossile, toutes sources confondues. Un des résultats le plus important mis en avant par le GSR 2017 est que les approches </w:t>
      </w:r>
      <w:proofErr w:type="spellStart"/>
      <w:r w:rsidR="002A0F1D" w:rsidRPr="004D4998">
        <w:rPr>
          <w:i/>
          <w:lang w:val="fr-FR"/>
        </w:rPr>
        <w:t>holisitiques</w:t>
      </w:r>
      <w:proofErr w:type="spellEnd"/>
      <w:r w:rsidR="002A0F1D" w:rsidRPr="004D4998">
        <w:rPr>
          <w:i/>
          <w:lang w:val="fr-FR"/>
        </w:rPr>
        <w:t xml:space="preserve"> sont clés: </w:t>
      </w:r>
      <w:proofErr w:type="spellStart"/>
      <w:r w:rsidR="002A0F1D" w:rsidRPr="004D4998">
        <w:rPr>
          <w:i/>
          <w:lang w:val="fr-FR"/>
        </w:rPr>
        <w:t>ells</w:t>
      </w:r>
      <w:proofErr w:type="spellEnd"/>
      <w:r w:rsidR="002A0F1D" w:rsidRPr="004D4998">
        <w:rPr>
          <w:i/>
          <w:lang w:val="fr-FR"/>
        </w:rPr>
        <w:t xml:space="preserve"> doivent devenir la règle plutôt que l’exception. Avec la croissance de la part des renouvelables, il </w:t>
      </w:r>
      <w:r w:rsidR="002A2132" w:rsidRPr="004D4998">
        <w:rPr>
          <w:i/>
          <w:lang w:val="fr-FR"/>
        </w:rPr>
        <w:t>devie</w:t>
      </w:r>
      <w:r w:rsidR="002A0F1D" w:rsidRPr="004D4998">
        <w:rPr>
          <w:i/>
          <w:lang w:val="fr-FR"/>
        </w:rPr>
        <w:t xml:space="preserve">nt impératif d’investir dans les infrastructures ainsi que dans une série d’outils: réseaux de transmission &amp; distribution interconnectés, instruments de mesures pour équilibrer l’offre et la demande, </w:t>
      </w:r>
      <w:proofErr w:type="spellStart"/>
      <w:r w:rsidR="002A0F1D" w:rsidRPr="004D4998">
        <w:rPr>
          <w:i/>
          <w:lang w:val="fr-FR"/>
        </w:rPr>
        <w:t>connection</w:t>
      </w:r>
      <w:proofErr w:type="spellEnd"/>
      <w:r w:rsidR="002A0F1D" w:rsidRPr="004D4998">
        <w:rPr>
          <w:i/>
          <w:lang w:val="fr-FR"/>
        </w:rPr>
        <w:t xml:space="preserve"> des secteurs (par exemple travailler sur l’</w:t>
      </w:r>
      <w:proofErr w:type="spellStart"/>
      <w:r w:rsidR="002A0F1D" w:rsidRPr="004D4998">
        <w:rPr>
          <w:i/>
          <w:lang w:val="fr-FR"/>
        </w:rPr>
        <w:t>inégration</w:t>
      </w:r>
      <w:proofErr w:type="spellEnd"/>
      <w:r w:rsidR="002A0F1D" w:rsidRPr="004D4998">
        <w:rPr>
          <w:i/>
          <w:lang w:val="fr-FR"/>
        </w:rPr>
        <w:t xml:space="preserve"> des réseaux de transport et d’énergie) ainsi que le déploiement d’une grande variété de technologies permettant le plein </w:t>
      </w:r>
      <w:proofErr w:type="spellStart"/>
      <w:r w:rsidR="002A0F1D" w:rsidRPr="004D4998">
        <w:rPr>
          <w:i/>
          <w:lang w:val="fr-FR"/>
        </w:rPr>
        <w:t>essort</w:t>
      </w:r>
      <w:proofErr w:type="spellEnd"/>
      <w:r w:rsidR="002A0F1D" w:rsidRPr="004D4998">
        <w:rPr>
          <w:i/>
          <w:lang w:val="fr-FR"/>
        </w:rPr>
        <w:t xml:space="preserve"> des renouvelables.</w:t>
      </w:r>
      <w:r w:rsidR="002A2132" w:rsidRPr="004D4998">
        <w:rPr>
          <w:i/>
          <w:lang w:val="fr-FR"/>
        </w:rPr>
        <w:t>”</w:t>
      </w:r>
    </w:p>
    <w:p w14:paraId="2C5A2E84" w14:textId="6414A3CE" w:rsidR="002A0F1D" w:rsidRPr="004D4998" w:rsidRDefault="002A0F1D" w:rsidP="002A2132">
      <w:pPr>
        <w:jc w:val="both"/>
        <w:rPr>
          <w:b/>
          <w:lang w:val="fr-FR"/>
        </w:rPr>
      </w:pPr>
      <w:r w:rsidRPr="004D4998">
        <w:rPr>
          <w:b/>
          <w:lang w:val="fr-FR"/>
        </w:rPr>
        <w:t xml:space="preserve">Toutefois, la transition énergétique ne se déroule pas assez vite </w:t>
      </w:r>
      <w:r w:rsidR="002A2132" w:rsidRPr="004D4998">
        <w:rPr>
          <w:b/>
          <w:lang w:val="fr-FR"/>
        </w:rPr>
        <w:t>pour atteindre les obj</w:t>
      </w:r>
      <w:r w:rsidRPr="004D4998">
        <w:rPr>
          <w:b/>
          <w:lang w:val="fr-FR"/>
        </w:rPr>
        <w:t>ectifs de l’Accord de Paris.</w:t>
      </w:r>
    </w:p>
    <w:p w14:paraId="22B3C2CA" w14:textId="0ED0A81F" w:rsidR="002A0F1D" w:rsidRPr="004D4998" w:rsidRDefault="002A0F1D" w:rsidP="002A2132">
      <w:pPr>
        <w:jc w:val="both"/>
        <w:rPr>
          <w:lang w:val="fr-FR"/>
        </w:rPr>
      </w:pPr>
      <w:r w:rsidRPr="004D4998">
        <w:rPr>
          <w:b/>
          <w:lang w:val="fr-FR"/>
        </w:rPr>
        <w:t>Les Investissements diminuent</w:t>
      </w:r>
      <w:r w:rsidRPr="004D4998">
        <w:rPr>
          <w:lang w:val="fr-FR"/>
        </w:rPr>
        <w:t xml:space="preserve">. Bien que le total des investissements mondiaux dans des nouvelles </w:t>
      </w:r>
      <w:proofErr w:type="gramStart"/>
      <w:r w:rsidRPr="004D4998">
        <w:rPr>
          <w:lang w:val="fr-FR"/>
        </w:rPr>
        <w:t>capacité</w:t>
      </w:r>
      <w:proofErr w:type="gramEnd"/>
      <w:r w:rsidRPr="004D4998">
        <w:rPr>
          <w:lang w:val="fr-FR"/>
        </w:rPr>
        <w:t xml:space="preserve"> de production renouvelable représente environ le double de ceux du secteur des énergies fossil</w:t>
      </w:r>
      <w:r w:rsidR="002A2132" w:rsidRPr="004D4998">
        <w:rPr>
          <w:lang w:val="fr-FR"/>
        </w:rPr>
        <w:t>e</w:t>
      </w:r>
      <w:r w:rsidRPr="004D4998">
        <w:rPr>
          <w:lang w:val="fr-FR"/>
        </w:rPr>
        <w:t>s, les investissements dans des nouvelles installations d’énergie renouvela</w:t>
      </w:r>
      <w:r w:rsidR="002A2132" w:rsidRPr="004D4998">
        <w:rPr>
          <w:lang w:val="fr-FR"/>
        </w:rPr>
        <w:t>bles ont chu</w:t>
      </w:r>
      <w:r w:rsidRPr="004D4998">
        <w:rPr>
          <w:lang w:val="fr-FR"/>
        </w:rPr>
        <w:t>té de 23% par rapport à 2015.</w:t>
      </w:r>
      <w:r w:rsidR="00E916BC" w:rsidRPr="004D4998">
        <w:rPr>
          <w:lang w:val="fr-FR"/>
        </w:rPr>
        <w:t xml:space="preserve"> Parmi les pays émergents et les pays en développement, les investissements dans les énergies renouvelables ont chuté de 30%, atteignant seulement 116,6 milliards de dollars, tandis que dans les pays développés ils ont </w:t>
      </w:r>
      <w:r w:rsidR="002A2132" w:rsidRPr="004D4998">
        <w:rPr>
          <w:lang w:val="fr-FR"/>
        </w:rPr>
        <w:t>chuté</w:t>
      </w:r>
      <w:r w:rsidR="00E916BC" w:rsidRPr="004D4998">
        <w:rPr>
          <w:lang w:val="fr-FR"/>
        </w:rPr>
        <w:t xml:space="preserve"> de 14% pour atteindre seulement 125 milliards de dollars. Les investissements restent toujours largement concentrés sur les secteurs de l’éolien et du solaire photovoltaïque, </w:t>
      </w:r>
      <w:r w:rsidR="002A2132" w:rsidRPr="004D4998">
        <w:rPr>
          <w:lang w:val="fr-FR"/>
        </w:rPr>
        <w:t>alors</w:t>
      </w:r>
      <w:r w:rsidR="00E916BC" w:rsidRPr="004D4998">
        <w:rPr>
          <w:lang w:val="fr-FR"/>
        </w:rPr>
        <w:t xml:space="preserve"> que toutes les technologies doivent être déployées si l’on souhaite contenir le réchauffement climatique </w:t>
      </w:r>
      <w:r w:rsidR="002A2132" w:rsidRPr="004D4998">
        <w:rPr>
          <w:lang w:val="fr-FR"/>
        </w:rPr>
        <w:t xml:space="preserve">bien </w:t>
      </w:r>
      <w:r w:rsidR="00E916BC" w:rsidRPr="004D4998">
        <w:rPr>
          <w:lang w:val="fr-FR"/>
        </w:rPr>
        <w:t>en-dessous de 2 degrés.</w:t>
      </w:r>
    </w:p>
    <w:p w14:paraId="33115904" w14:textId="0E84408C" w:rsidR="00E916BC" w:rsidRPr="004D4998" w:rsidRDefault="00E916BC" w:rsidP="002A2132">
      <w:pPr>
        <w:jc w:val="both"/>
        <w:rPr>
          <w:lang w:val="fr-FR"/>
        </w:rPr>
      </w:pPr>
      <w:r w:rsidRPr="004D4998">
        <w:rPr>
          <w:b/>
          <w:lang w:val="fr-FR"/>
        </w:rPr>
        <w:t>Les secteurs du transport, de la chaleur et du refroidissement sont encore à la traî</w:t>
      </w:r>
      <w:r w:rsidR="002A2132" w:rsidRPr="004D4998">
        <w:rPr>
          <w:b/>
          <w:lang w:val="fr-FR"/>
        </w:rPr>
        <w:t>ne par rapport au sec</w:t>
      </w:r>
      <w:r w:rsidRPr="004D4998">
        <w:rPr>
          <w:b/>
          <w:lang w:val="fr-FR"/>
        </w:rPr>
        <w:t>teur de l’électricité</w:t>
      </w:r>
      <w:r w:rsidRPr="004D4998">
        <w:rPr>
          <w:lang w:val="fr-FR"/>
        </w:rPr>
        <w:t xml:space="preserve">. Le déploiement de technologies renouvelables dans les secteurs de la </w:t>
      </w:r>
      <w:r w:rsidRPr="004D4998">
        <w:rPr>
          <w:b/>
          <w:lang w:val="fr-FR"/>
        </w:rPr>
        <w:t>chaleur/refroidissement</w:t>
      </w:r>
      <w:r w:rsidRPr="004D4998">
        <w:rPr>
          <w:lang w:val="fr-FR"/>
        </w:rPr>
        <w:t xml:space="preserve"> demeure un challenge en raison de la nature unique et décentralisée du marché.</w:t>
      </w:r>
      <w:r w:rsidR="002A2132" w:rsidRPr="004D4998">
        <w:rPr>
          <w:lang w:val="fr-FR"/>
        </w:rPr>
        <w:t xml:space="preserve"> </w:t>
      </w:r>
      <w:r w:rsidRPr="004D4998">
        <w:rPr>
          <w:lang w:val="fr-FR"/>
        </w:rPr>
        <w:t xml:space="preserve">La </w:t>
      </w:r>
      <w:proofErr w:type="spellStart"/>
      <w:r w:rsidRPr="004D4998">
        <w:rPr>
          <w:lang w:val="fr-FR"/>
        </w:rPr>
        <w:t>décarbonisation</w:t>
      </w:r>
      <w:proofErr w:type="spellEnd"/>
      <w:r w:rsidRPr="004D4998">
        <w:rPr>
          <w:lang w:val="fr-FR"/>
        </w:rPr>
        <w:t xml:space="preserve"> du </w:t>
      </w:r>
      <w:r w:rsidRPr="004D4998">
        <w:rPr>
          <w:b/>
          <w:lang w:val="fr-FR"/>
        </w:rPr>
        <w:t>transport</w:t>
      </w:r>
      <w:r w:rsidRPr="004D4998">
        <w:rPr>
          <w:lang w:val="fr-FR"/>
        </w:rPr>
        <w:t xml:space="preserve">, basée sur les énergies renouvelables, n’est encore ni sérieusement </w:t>
      </w:r>
      <w:r w:rsidR="002A2132" w:rsidRPr="004D4998">
        <w:rPr>
          <w:lang w:val="fr-FR"/>
        </w:rPr>
        <w:t>envisagée</w:t>
      </w:r>
      <w:r w:rsidRPr="004D4998">
        <w:rPr>
          <w:lang w:val="fr-FR"/>
        </w:rPr>
        <w:t xml:space="preserve"> ni une priorité. Malgré une expansion </w:t>
      </w:r>
      <w:r w:rsidR="002A2132" w:rsidRPr="004D4998">
        <w:rPr>
          <w:lang w:val="fr-FR"/>
        </w:rPr>
        <w:t>considé</w:t>
      </w:r>
      <w:r w:rsidRPr="004D4998">
        <w:rPr>
          <w:lang w:val="fr-FR"/>
        </w:rPr>
        <w:t xml:space="preserve">rable de la vente de véhicules électriques, </w:t>
      </w:r>
      <w:proofErr w:type="spellStart"/>
      <w:r w:rsidRPr="004D4998">
        <w:rPr>
          <w:lang w:val="fr-FR"/>
        </w:rPr>
        <w:t>dûe</w:t>
      </w:r>
      <w:proofErr w:type="spellEnd"/>
      <w:r w:rsidRPr="004D4998">
        <w:rPr>
          <w:lang w:val="fr-FR"/>
        </w:rPr>
        <w:t xml:space="preserve"> principalement au </w:t>
      </w:r>
      <w:proofErr w:type="spellStart"/>
      <w:r w:rsidRPr="004D4998">
        <w:rPr>
          <w:lang w:val="fr-FR"/>
        </w:rPr>
        <w:t>côut</w:t>
      </w:r>
      <w:proofErr w:type="spellEnd"/>
      <w:r w:rsidRPr="004D4998">
        <w:rPr>
          <w:lang w:val="fr-FR"/>
        </w:rPr>
        <w:t xml:space="preserve"> décroissant des batteries, il reste encore beaucoup à faire afin de garantir que ces véhicules bénéficient du réseau de rechargement adéquat et qu’ils soient alimentés par des sources renouvelables. Alors que le transport aérien et par voie maritime représentent les plus grands défis, ni les politiques publiques ni les impulsions commerciales n’ont permis de faire émerger de </w:t>
      </w:r>
      <w:r w:rsidR="002A2132" w:rsidRPr="004D4998">
        <w:rPr>
          <w:lang w:val="fr-FR"/>
        </w:rPr>
        <w:t>vraies</w:t>
      </w:r>
      <w:r w:rsidRPr="004D4998">
        <w:rPr>
          <w:lang w:val="fr-FR"/>
        </w:rPr>
        <w:t xml:space="preserve"> solutions technologiques.</w:t>
      </w:r>
    </w:p>
    <w:p w14:paraId="51CD4D99" w14:textId="580B7A0B" w:rsidR="00E916BC" w:rsidRPr="004D4998" w:rsidRDefault="00E916BC" w:rsidP="002A2132">
      <w:pPr>
        <w:jc w:val="both"/>
        <w:rPr>
          <w:lang w:val="fr-FR"/>
        </w:rPr>
      </w:pPr>
      <w:r w:rsidRPr="004D4998">
        <w:rPr>
          <w:lang w:val="fr-FR"/>
        </w:rPr>
        <w:t>Les subsides aux énergies fossil</w:t>
      </w:r>
      <w:r w:rsidR="00F17582" w:rsidRPr="004D4998">
        <w:rPr>
          <w:lang w:val="fr-FR"/>
        </w:rPr>
        <w:t>e</w:t>
      </w:r>
      <w:r w:rsidRPr="004D4998">
        <w:rPr>
          <w:lang w:val="fr-FR"/>
        </w:rPr>
        <w:t xml:space="preserve">s demeurent un frein au </w:t>
      </w:r>
      <w:r w:rsidR="002A2132" w:rsidRPr="004D4998">
        <w:rPr>
          <w:lang w:val="fr-FR"/>
        </w:rPr>
        <w:t>progrès</w:t>
      </w:r>
      <w:r w:rsidRPr="004D4998">
        <w:rPr>
          <w:lang w:val="fr-FR"/>
        </w:rPr>
        <w:t>.</w:t>
      </w:r>
    </w:p>
    <w:p w14:paraId="5A7BE834" w14:textId="4B55E3D1" w:rsidR="006E514A" w:rsidRPr="004D4998" w:rsidRDefault="006E514A" w:rsidP="002A2132">
      <w:pPr>
        <w:jc w:val="both"/>
        <w:rPr>
          <w:lang w:val="fr-FR"/>
        </w:rPr>
      </w:pPr>
      <w:r w:rsidRPr="004D4998">
        <w:rPr>
          <w:lang w:val="fr-FR"/>
        </w:rPr>
        <w:lastRenderedPageBreak/>
        <w:t>Au niveau mondial, les subsides aux énergies fossil</w:t>
      </w:r>
      <w:r w:rsidR="00F17582" w:rsidRPr="004D4998">
        <w:rPr>
          <w:lang w:val="fr-FR"/>
        </w:rPr>
        <w:t>e</w:t>
      </w:r>
      <w:r w:rsidRPr="004D4998">
        <w:rPr>
          <w:lang w:val="fr-FR"/>
        </w:rPr>
        <w:t>s et au secteur du nucléaire excèdent largement ceux des énergies renouvelables.</w:t>
      </w:r>
    </w:p>
    <w:p w14:paraId="149305CA" w14:textId="0C033CCA" w:rsidR="006E514A" w:rsidRPr="004D4998" w:rsidRDefault="006E514A" w:rsidP="002A2132">
      <w:pPr>
        <w:jc w:val="both"/>
        <w:rPr>
          <w:lang w:val="fr-FR"/>
        </w:rPr>
      </w:pPr>
      <w:r w:rsidRPr="004D4998">
        <w:rPr>
          <w:lang w:val="fr-FR"/>
        </w:rPr>
        <w:t xml:space="preserve">A la fin de l’année 2016, plus de 50 pays s’étaient </w:t>
      </w:r>
      <w:r w:rsidR="002A2132" w:rsidRPr="004D4998">
        <w:rPr>
          <w:lang w:val="fr-FR"/>
        </w:rPr>
        <w:t>engagé</w:t>
      </w:r>
      <w:r w:rsidRPr="004D4998">
        <w:rPr>
          <w:lang w:val="fr-FR"/>
        </w:rPr>
        <w:t>s à éliminer les subsides pour les énergies fossil</w:t>
      </w:r>
      <w:r w:rsidR="002A2132" w:rsidRPr="004D4998">
        <w:rPr>
          <w:lang w:val="fr-FR"/>
        </w:rPr>
        <w:t>e</w:t>
      </w:r>
      <w:r w:rsidRPr="004D4998">
        <w:rPr>
          <w:lang w:val="fr-FR"/>
        </w:rPr>
        <w:t>s; certa</w:t>
      </w:r>
      <w:r w:rsidR="002A2132" w:rsidRPr="004D4998">
        <w:rPr>
          <w:lang w:val="fr-FR"/>
        </w:rPr>
        <w:t>i</w:t>
      </w:r>
      <w:r w:rsidRPr="004D4998">
        <w:rPr>
          <w:lang w:val="fr-FR"/>
        </w:rPr>
        <w:t>nes réformes ont eu lieu mais pas en nombre suffisant. En 2014, le ratio des subsides au se</w:t>
      </w:r>
      <w:r w:rsidR="002A2132" w:rsidRPr="004D4998">
        <w:rPr>
          <w:lang w:val="fr-FR"/>
        </w:rPr>
        <w:t>c</w:t>
      </w:r>
      <w:r w:rsidRPr="004D4998">
        <w:rPr>
          <w:lang w:val="fr-FR"/>
        </w:rPr>
        <w:t xml:space="preserve">teur </w:t>
      </w:r>
      <w:proofErr w:type="spellStart"/>
      <w:r w:rsidRPr="004D4998">
        <w:rPr>
          <w:lang w:val="fr-FR"/>
        </w:rPr>
        <w:t>fossil</w:t>
      </w:r>
      <w:proofErr w:type="spellEnd"/>
      <w:r w:rsidRPr="004D4998">
        <w:rPr>
          <w:lang w:val="fr-FR"/>
        </w:rPr>
        <w:t xml:space="preserve"> par rapport au </w:t>
      </w:r>
      <w:proofErr w:type="spellStart"/>
      <w:r w:rsidRPr="004D4998">
        <w:rPr>
          <w:lang w:val="fr-FR"/>
        </w:rPr>
        <w:t>seteur</w:t>
      </w:r>
      <w:proofErr w:type="spellEnd"/>
      <w:r w:rsidRPr="004D4998">
        <w:rPr>
          <w:lang w:val="fr-FR"/>
        </w:rPr>
        <w:t xml:space="preserve"> renouvelable était de 4 pour 1. </w:t>
      </w:r>
      <w:r w:rsidR="002A2132" w:rsidRPr="004D4998">
        <w:rPr>
          <w:lang w:val="fr-FR"/>
        </w:rPr>
        <w:t>Pour</w:t>
      </w:r>
      <w:r w:rsidRPr="004D4998">
        <w:rPr>
          <w:lang w:val="fr-FR"/>
        </w:rPr>
        <w:t xml:space="preserve"> chaque dollar dépensé pour les renouvelables, les gouvernements en dépensaient 4 pour prolonger notre dépendance aux énergies carbonées.</w:t>
      </w:r>
    </w:p>
    <w:p w14:paraId="50CEF659" w14:textId="09E93A3C" w:rsidR="006E514A" w:rsidRPr="004D4998" w:rsidRDefault="00146E6F" w:rsidP="002A2132">
      <w:pPr>
        <w:jc w:val="both"/>
        <w:rPr>
          <w:i/>
          <w:lang w:val="fr-FR"/>
        </w:rPr>
      </w:pPr>
      <w:r w:rsidRPr="004D4998">
        <w:rPr>
          <w:b/>
          <w:lang w:val="fr-FR"/>
        </w:rPr>
        <w:t xml:space="preserve">Christine Lins, </w:t>
      </w:r>
      <w:proofErr w:type="spellStart"/>
      <w:r w:rsidR="006E514A" w:rsidRPr="004D4998">
        <w:rPr>
          <w:b/>
          <w:lang w:val="fr-FR"/>
        </w:rPr>
        <w:t>Sécrétaire</w:t>
      </w:r>
      <w:proofErr w:type="spellEnd"/>
      <w:r w:rsidR="006E514A" w:rsidRPr="004D4998">
        <w:rPr>
          <w:b/>
          <w:lang w:val="fr-FR"/>
        </w:rPr>
        <w:t xml:space="preserve"> </w:t>
      </w:r>
      <w:proofErr w:type="spellStart"/>
      <w:r w:rsidR="006E514A" w:rsidRPr="004D4998">
        <w:rPr>
          <w:b/>
          <w:lang w:val="fr-FR"/>
        </w:rPr>
        <w:t>Executive</w:t>
      </w:r>
      <w:proofErr w:type="spellEnd"/>
      <w:r w:rsidR="006E514A" w:rsidRPr="004D4998">
        <w:rPr>
          <w:b/>
          <w:lang w:val="fr-FR"/>
        </w:rPr>
        <w:t xml:space="preserve"> de </w:t>
      </w:r>
      <w:r w:rsidRPr="004D4998">
        <w:rPr>
          <w:b/>
          <w:lang w:val="fr-FR"/>
        </w:rPr>
        <w:t>REN21</w:t>
      </w:r>
      <w:r w:rsidRPr="004D4998">
        <w:rPr>
          <w:lang w:val="fr-FR"/>
        </w:rPr>
        <w:t xml:space="preserve">, </w:t>
      </w:r>
      <w:r w:rsidR="006E514A" w:rsidRPr="004D4998">
        <w:rPr>
          <w:lang w:val="fr-FR"/>
        </w:rPr>
        <w:t>explique</w:t>
      </w:r>
      <w:r w:rsidRPr="004D4998">
        <w:rPr>
          <w:lang w:val="fr-FR"/>
        </w:rPr>
        <w:t>:</w:t>
      </w:r>
      <w:r w:rsidR="006E514A" w:rsidRPr="004D4998">
        <w:rPr>
          <w:lang w:val="fr-FR"/>
        </w:rPr>
        <w:t xml:space="preserve"> “</w:t>
      </w:r>
      <w:r w:rsidR="006E514A" w:rsidRPr="004D4998">
        <w:rPr>
          <w:i/>
          <w:lang w:val="fr-FR"/>
        </w:rPr>
        <w:t xml:space="preserve">Le monde court une course contre la montre. La seule mesure à prendre pour réduire efficacement et rapidement les émissions de </w:t>
      </w:r>
      <w:r w:rsidRPr="004D4998">
        <w:rPr>
          <w:i/>
          <w:lang w:val="fr-FR"/>
        </w:rPr>
        <w:t>CO</w:t>
      </w:r>
      <w:r w:rsidRPr="004D4998">
        <w:rPr>
          <w:i/>
          <w:vertAlign w:val="subscript"/>
          <w:lang w:val="fr-FR"/>
        </w:rPr>
        <w:t>2</w:t>
      </w:r>
      <w:r w:rsidRPr="004D4998">
        <w:rPr>
          <w:i/>
          <w:lang w:val="fr-FR"/>
        </w:rPr>
        <w:t xml:space="preserve"> </w:t>
      </w:r>
      <w:r w:rsidR="006E514A" w:rsidRPr="004D4998">
        <w:rPr>
          <w:i/>
          <w:lang w:val="fr-FR"/>
        </w:rPr>
        <w:t xml:space="preserve">est d’éliminer la production d’énergie à base de charbon tout en </w:t>
      </w:r>
      <w:proofErr w:type="spellStart"/>
      <w:r w:rsidR="006E514A" w:rsidRPr="004D4998">
        <w:rPr>
          <w:i/>
          <w:lang w:val="fr-FR"/>
        </w:rPr>
        <w:t>accelerant</w:t>
      </w:r>
      <w:proofErr w:type="spellEnd"/>
      <w:r w:rsidR="006E514A" w:rsidRPr="004D4998">
        <w:rPr>
          <w:i/>
          <w:lang w:val="fr-FR"/>
        </w:rPr>
        <w:t xml:space="preserve"> les investissements dans les renouvelables et l’</w:t>
      </w:r>
      <w:proofErr w:type="spellStart"/>
      <w:r w:rsidR="006E514A" w:rsidRPr="004D4998">
        <w:rPr>
          <w:i/>
          <w:lang w:val="fr-FR"/>
        </w:rPr>
        <w:t>efficaicté</w:t>
      </w:r>
      <w:proofErr w:type="spellEnd"/>
      <w:r w:rsidR="006E514A" w:rsidRPr="004D4998">
        <w:rPr>
          <w:i/>
          <w:lang w:val="fr-FR"/>
        </w:rPr>
        <w:t xml:space="preserve"> énergétique. Quand la Chine a annoncé en janvier qu’elle arrêtait la construction de plus de 100 centrales électriques au charbon, pourtant en cours de construction, elle a montré la voie pour tous les gouvernements: le changement est possible rapidement quand les gouvernements passent aux actes, en établissant des politiques claires, de long-terme et qui envoient les bons signaux aux investisseurs.”</w:t>
      </w:r>
    </w:p>
    <w:p w14:paraId="536BD27B" w14:textId="77777777" w:rsidR="006E514A" w:rsidRPr="004D4998" w:rsidRDefault="006E514A" w:rsidP="00146E6F">
      <w:pPr>
        <w:rPr>
          <w:lang w:val="fr-FR"/>
        </w:rPr>
      </w:pPr>
    </w:p>
    <w:p w14:paraId="742AACC0" w14:textId="68A9CCC3" w:rsidR="006E514A" w:rsidRPr="004D4998" w:rsidRDefault="00146E6F" w:rsidP="00163F29">
      <w:pPr>
        <w:jc w:val="center"/>
        <w:rPr>
          <w:b/>
          <w:lang w:val="fr-FR"/>
        </w:rPr>
      </w:pPr>
      <w:r w:rsidRPr="004D4998">
        <w:rPr>
          <w:b/>
          <w:lang w:val="fr-FR"/>
        </w:rPr>
        <w:t xml:space="preserve">- </w:t>
      </w:r>
      <w:r w:rsidR="006E514A" w:rsidRPr="004D4998">
        <w:rPr>
          <w:b/>
          <w:lang w:val="fr-FR"/>
        </w:rPr>
        <w:t>Fin</w:t>
      </w:r>
      <w:r w:rsidRPr="004D4998">
        <w:rPr>
          <w:b/>
          <w:lang w:val="fr-FR"/>
        </w:rPr>
        <w:t xml:space="preserve"> </w:t>
      </w:r>
      <w:r w:rsidR="00163F29" w:rsidRPr="004D4998">
        <w:rPr>
          <w:b/>
          <w:lang w:val="fr-FR"/>
        </w:rPr>
        <w:t>–</w:t>
      </w:r>
      <w:r w:rsidRPr="004D4998">
        <w:rPr>
          <w:b/>
          <w:lang w:val="fr-FR"/>
        </w:rPr>
        <w:t xml:space="preserve"> </w:t>
      </w:r>
    </w:p>
    <w:p w14:paraId="5575C79E" w14:textId="77777777" w:rsidR="00163F29" w:rsidRPr="004D4998" w:rsidRDefault="00163F29" w:rsidP="00163F29">
      <w:pPr>
        <w:jc w:val="center"/>
        <w:rPr>
          <w:b/>
          <w:lang w:val="fr-FR"/>
        </w:rPr>
      </w:pPr>
    </w:p>
    <w:p w14:paraId="23ABA0E4" w14:textId="77777777" w:rsidR="009C208D" w:rsidRPr="004D4998" w:rsidRDefault="009C208D" w:rsidP="009C208D">
      <w:pPr>
        <w:spacing w:line="280" w:lineRule="auto"/>
        <w:rPr>
          <w:b/>
          <w:lang w:val="fr-FR"/>
        </w:rPr>
      </w:pPr>
      <w:r w:rsidRPr="004D4998">
        <w:rPr>
          <w:b/>
          <w:lang w:val="fr-FR"/>
        </w:rPr>
        <w:t xml:space="preserve">À propos du </w:t>
      </w:r>
      <w:r w:rsidRPr="004D4998">
        <w:rPr>
          <w:b/>
          <w:bCs/>
          <w:i/>
          <w:lang w:val="fr-FR"/>
        </w:rPr>
        <w:t xml:space="preserve">Rapport sur le statut mondial des énergies renouvelables </w:t>
      </w:r>
      <w:r w:rsidRPr="004D4998">
        <w:rPr>
          <w:b/>
          <w:bCs/>
          <w:iCs/>
          <w:lang w:val="fr-FR"/>
        </w:rPr>
        <w:t>publié par REN21</w:t>
      </w:r>
    </w:p>
    <w:p w14:paraId="4ABE562D" w14:textId="719C9CA9" w:rsidR="009C208D" w:rsidRPr="004D4998" w:rsidRDefault="009C208D" w:rsidP="009C208D">
      <w:pPr>
        <w:pBdr>
          <w:bottom w:val="single" w:sz="6" w:space="1" w:color="auto"/>
        </w:pBdr>
        <w:spacing w:line="280" w:lineRule="auto"/>
        <w:rPr>
          <w:b/>
          <w:lang w:val="fr-FR"/>
        </w:rPr>
      </w:pPr>
      <w:r w:rsidRPr="004D4998">
        <w:rPr>
          <w:lang w:val="fr-FR"/>
        </w:rPr>
        <w:t xml:space="preserve">Publié annuellement pour la première fois en 2005, le </w:t>
      </w:r>
      <w:r w:rsidRPr="004D4998">
        <w:rPr>
          <w:i/>
          <w:lang w:val="fr-FR"/>
        </w:rPr>
        <w:t xml:space="preserve">Rapport sur le statut mondial des énergies renouvelables </w:t>
      </w:r>
      <w:r w:rsidRPr="004D4998">
        <w:rPr>
          <w:iCs/>
          <w:lang w:val="fr-FR"/>
        </w:rPr>
        <w:t>fournit des informations exhaustives et opportunes sur le statut, l’évolution et les dynamiques récentes des marchés, entreprises, investissements et mesures politiques visant les énergies vertes à travers le monde.</w:t>
      </w:r>
      <w:r w:rsidRPr="004D4998">
        <w:rPr>
          <w:lang w:val="fr-FR"/>
        </w:rPr>
        <w:t xml:space="preserve"> Il ne présente à dessein aucune analyse ni prévision. Ses données sont fournies par un réseau de 700 experts, chercheurs et auteurs de tous pays. </w:t>
      </w:r>
      <w:hyperlink r:id="rId9" w:history="1">
        <w:r w:rsidRPr="004D4998">
          <w:rPr>
            <w:rStyle w:val="Hyperlink"/>
            <w:b/>
            <w:lang w:val="fr-FR"/>
          </w:rPr>
          <w:t>www.ren21.net/gsr</w:t>
        </w:r>
      </w:hyperlink>
    </w:p>
    <w:p w14:paraId="2032FABB" w14:textId="77777777" w:rsidR="009C208D" w:rsidRPr="004D4998" w:rsidRDefault="009C208D" w:rsidP="009C208D">
      <w:pPr>
        <w:pBdr>
          <w:bottom w:val="single" w:sz="6" w:space="1" w:color="auto"/>
        </w:pBdr>
        <w:spacing w:line="280" w:lineRule="auto"/>
        <w:rPr>
          <w:b/>
          <w:lang w:val="fr-FR"/>
        </w:rPr>
      </w:pPr>
    </w:p>
    <w:p w14:paraId="5EC98ACF" w14:textId="77777777" w:rsidR="009C208D" w:rsidRPr="004D4998" w:rsidRDefault="009C208D" w:rsidP="009C208D">
      <w:pPr>
        <w:pStyle w:val="Default"/>
        <w:rPr>
          <w:rFonts w:asciiTheme="minorHAnsi" w:hAnsiTheme="minorHAnsi"/>
          <w:b/>
          <w:iCs/>
          <w:lang w:val="fr-FR"/>
        </w:rPr>
      </w:pPr>
    </w:p>
    <w:p w14:paraId="02FCD97D" w14:textId="77777777" w:rsidR="009C208D" w:rsidRPr="004D4998" w:rsidRDefault="009C208D" w:rsidP="009C208D">
      <w:pPr>
        <w:pStyle w:val="Default"/>
        <w:rPr>
          <w:rFonts w:asciiTheme="minorHAnsi" w:hAnsiTheme="minorHAnsi"/>
          <w:b/>
          <w:iCs/>
          <w:lang w:val="fr-FR"/>
        </w:rPr>
      </w:pPr>
      <w:r w:rsidRPr="004D4998">
        <w:rPr>
          <w:rFonts w:asciiTheme="minorHAnsi" w:hAnsiTheme="minorHAnsi"/>
          <w:b/>
          <w:iCs/>
          <w:lang w:val="fr-FR"/>
        </w:rPr>
        <w:t>Des entretiens pourront être organisés à l’avance</w:t>
      </w:r>
    </w:p>
    <w:p w14:paraId="39303B6B" w14:textId="77777777" w:rsidR="009C208D" w:rsidRPr="004D4998" w:rsidRDefault="009C208D" w:rsidP="009C208D">
      <w:pPr>
        <w:pStyle w:val="Default"/>
        <w:rPr>
          <w:rFonts w:asciiTheme="minorHAnsi" w:eastAsia="Times New Roman" w:hAnsiTheme="minorHAnsi"/>
          <w:iCs/>
          <w:sz w:val="22"/>
          <w:szCs w:val="22"/>
          <w:lang w:val="fr-FR"/>
        </w:rPr>
      </w:pPr>
    </w:p>
    <w:p w14:paraId="0A645BC2" w14:textId="2C6FA5F6" w:rsidR="009C208D" w:rsidRPr="004D4998" w:rsidRDefault="009C208D" w:rsidP="009C208D">
      <w:pPr>
        <w:spacing w:after="0" w:line="240" w:lineRule="auto"/>
        <w:rPr>
          <w:rFonts w:eastAsia="Times New Roman"/>
          <w:iCs/>
          <w:lang w:val="fr-FR"/>
        </w:rPr>
      </w:pPr>
      <w:r w:rsidRPr="004D4998">
        <w:rPr>
          <w:rFonts w:eastAsia="Times New Roman"/>
          <w:iCs/>
          <w:lang w:val="fr-FR"/>
        </w:rPr>
        <w:t xml:space="preserve">Les médias obtiendront les documents suivants auprès de </w:t>
      </w:r>
      <w:hyperlink r:id="rId10" w:history="1">
        <w:r w:rsidR="00163F29" w:rsidRPr="004D4998">
          <w:rPr>
            <w:rStyle w:val="Hyperlink"/>
            <w:rFonts w:ascii="Calibri" w:hAnsi="Calibri" w:cs="Calibri"/>
            <w:lang w:val="fr-FR"/>
          </w:rPr>
          <w:t>https://ren21.rotcloud.com/index.php/s/WR8IljwryS1eWyq</w:t>
        </w:r>
      </w:hyperlink>
      <w:r w:rsidR="00163F29" w:rsidRPr="004D4998">
        <w:rPr>
          <w:rFonts w:eastAsia="Times New Roman"/>
          <w:iCs/>
          <w:lang w:val="fr-FR"/>
        </w:rPr>
        <w:t xml:space="preserve"> </w:t>
      </w:r>
    </w:p>
    <w:p w14:paraId="4720CA76" w14:textId="7F2F8EB1" w:rsidR="009C208D" w:rsidRPr="004D4998" w:rsidRDefault="009C208D" w:rsidP="009C208D">
      <w:pPr>
        <w:pStyle w:val="ListParagraph"/>
        <w:numPr>
          <w:ilvl w:val="0"/>
          <w:numId w:val="43"/>
        </w:numPr>
        <w:spacing w:after="0" w:line="240" w:lineRule="auto"/>
        <w:rPr>
          <w:rFonts w:eastAsia="Times New Roman"/>
          <w:lang w:val="fr-FR"/>
        </w:rPr>
      </w:pPr>
      <w:r w:rsidRPr="004D4998">
        <w:rPr>
          <w:rFonts w:eastAsia="Times New Roman"/>
          <w:iCs/>
          <w:lang w:val="fr-FR"/>
        </w:rPr>
        <w:t>Faits essentiels / Résumé analytique (en anglais), et le rapport complet sur demande</w:t>
      </w:r>
    </w:p>
    <w:p w14:paraId="5003F86B" w14:textId="77777777" w:rsidR="009C208D" w:rsidRPr="004D4998" w:rsidRDefault="009C208D" w:rsidP="009C208D">
      <w:pPr>
        <w:pStyle w:val="ListParagraph"/>
        <w:numPr>
          <w:ilvl w:val="0"/>
          <w:numId w:val="43"/>
        </w:numPr>
        <w:spacing w:after="0" w:line="240" w:lineRule="auto"/>
        <w:rPr>
          <w:rFonts w:eastAsia="Times New Roman"/>
          <w:lang w:val="fr-FR"/>
        </w:rPr>
      </w:pPr>
      <w:r w:rsidRPr="004D4998">
        <w:rPr>
          <w:rFonts w:eastAsia="Times New Roman"/>
          <w:iCs/>
          <w:lang w:val="fr-FR"/>
        </w:rPr>
        <w:t>Graphiques d’information</w:t>
      </w:r>
    </w:p>
    <w:p w14:paraId="435DFBC2" w14:textId="4898A778" w:rsidR="009C208D" w:rsidRPr="004D4998" w:rsidRDefault="009C208D" w:rsidP="00163F29">
      <w:pPr>
        <w:pStyle w:val="ListParagraph"/>
        <w:numPr>
          <w:ilvl w:val="0"/>
          <w:numId w:val="43"/>
        </w:numPr>
        <w:spacing w:after="0" w:line="240" w:lineRule="auto"/>
        <w:rPr>
          <w:rFonts w:eastAsia="Times New Roman"/>
          <w:iCs/>
          <w:lang w:val="fr-FR"/>
        </w:rPr>
      </w:pPr>
      <w:r w:rsidRPr="004D4998">
        <w:rPr>
          <w:rFonts w:eastAsia="Times New Roman"/>
          <w:iCs/>
          <w:lang w:val="fr-FR"/>
        </w:rPr>
        <w:t xml:space="preserve">Communiqué de presse en allemand, anglais, arabe, chinois, </w:t>
      </w:r>
      <w:r w:rsidR="00163F29" w:rsidRPr="004D4998">
        <w:rPr>
          <w:rFonts w:eastAsia="Times New Roman"/>
          <w:iCs/>
          <w:lang w:val="fr-FR"/>
        </w:rPr>
        <w:t xml:space="preserve">vietnamien, </w:t>
      </w:r>
      <w:r w:rsidRPr="004D4998">
        <w:rPr>
          <w:rFonts w:eastAsia="Times New Roman"/>
          <w:iCs/>
          <w:lang w:val="fr-FR"/>
        </w:rPr>
        <w:t>coréen, espagnol, farsi, grec, japonais et portugais</w:t>
      </w:r>
    </w:p>
    <w:p w14:paraId="079027FB" w14:textId="77777777" w:rsidR="009C208D" w:rsidRPr="004D4998" w:rsidRDefault="009C208D" w:rsidP="009C208D">
      <w:pPr>
        <w:pStyle w:val="Default"/>
        <w:rPr>
          <w:rFonts w:asciiTheme="minorHAnsi" w:hAnsiTheme="minorHAnsi"/>
          <w:i/>
          <w:iCs/>
          <w:sz w:val="22"/>
          <w:szCs w:val="22"/>
          <w:lang w:val="fr-FR"/>
        </w:rPr>
      </w:pPr>
    </w:p>
    <w:p w14:paraId="405A8E3E" w14:textId="77777777" w:rsidR="009C208D" w:rsidRPr="004D4998" w:rsidRDefault="009C208D" w:rsidP="009C208D">
      <w:pPr>
        <w:pStyle w:val="Default"/>
        <w:rPr>
          <w:rFonts w:asciiTheme="minorHAnsi" w:hAnsiTheme="minorHAnsi"/>
          <w:sz w:val="22"/>
          <w:szCs w:val="22"/>
          <w:lang w:val="fr-FR"/>
        </w:rPr>
      </w:pPr>
      <w:r w:rsidRPr="004D4998">
        <w:rPr>
          <w:rFonts w:asciiTheme="minorHAnsi" w:hAnsiTheme="minorHAnsi"/>
          <w:iCs/>
          <w:sz w:val="22"/>
          <w:szCs w:val="22"/>
          <w:lang w:val="fr-FR"/>
        </w:rPr>
        <w:t>Pour participer au webinaire du mercredi 1</w:t>
      </w:r>
      <w:r w:rsidRPr="004D4998">
        <w:rPr>
          <w:rFonts w:asciiTheme="minorHAnsi" w:hAnsiTheme="minorHAnsi"/>
          <w:iCs/>
          <w:sz w:val="22"/>
          <w:szCs w:val="22"/>
          <w:vertAlign w:val="superscript"/>
          <w:lang w:val="fr-FR"/>
        </w:rPr>
        <w:t>er</w:t>
      </w:r>
      <w:r w:rsidRPr="004D4998">
        <w:rPr>
          <w:rFonts w:asciiTheme="minorHAnsi" w:hAnsiTheme="minorHAnsi"/>
          <w:iCs/>
          <w:sz w:val="22"/>
          <w:szCs w:val="22"/>
          <w:lang w:val="fr-FR"/>
        </w:rPr>
        <w:t xml:space="preserve"> juin à 16h00 (heure d’été d’Europe centrale) / 10h00 (heure d’été de New York) : </w:t>
      </w:r>
      <w:hyperlink r:id="rId11" w:history="1">
        <w:r w:rsidRPr="004D4998">
          <w:rPr>
            <w:rStyle w:val="Hyperlink"/>
            <w:rFonts w:asciiTheme="minorHAnsi" w:hAnsiTheme="minorHAnsi"/>
            <w:sz w:val="22"/>
            <w:szCs w:val="22"/>
            <w:lang w:val="fr-FR"/>
          </w:rPr>
          <w:t>https://attendee.gotowebinar.com/register/5978068184309560579</w:t>
        </w:r>
      </w:hyperlink>
    </w:p>
    <w:p w14:paraId="6D0FB3FE" w14:textId="77777777" w:rsidR="009C208D" w:rsidRPr="004D4998" w:rsidRDefault="009C208D" w:rsidP="009C208D">
      <w:pPr>
        <w:pStyle w:val="BodyA"/>
        <w:widowControl w:val="0"/>
        <w:suppressAutoHyphens/>
        <w:spacing w:after="0" w:line="240" w:lineRule="auto"/>
        <w:rPr>
          <w:rFonts w:asciiTheme="minorHAnsi" w:hAnsiTheme="minorHAnsi"/>
          <w:lang w:val="fr-FR"/>
        </w:rPr>
      </w:pPr>
    </w:p>
    <w:p w14:paraId="0E78FE74" w14:textId="77777777" w:rsidR="009C208D" w:rsidRPr="004D4998" w:rsidRDefault="009C208D" w:rsidP="009C208D">
      <w:pPr>
        <w:pStyle w:val="BodyA"/>
        <w:widowControl w:val="0"/>
        <w:suppressAutoHyphens/>
        <w:spacing w:after="0" w:line="240" w:lineRule="auto"/>
        <w:rPr>
          <w:rStyle w:val="Hyperlink1"/>
          <w:rFonts w:asciiTheme="minorHAnsi" w:hAnsiTheme="minorHAnsi"/>
          <w:lang w:val="fr-FR"/>
        </w:rPr>
      </w:pPr>
      <w:r w:rsidRPr="004D4998">
        <w:rPr>
          <w:rFonts w:asciiTheme="minorHAnsi" w:hAnsiTheme="minorHAnsi"/>
          <w:b/>
          <w:bCs/>
          <w:lang w:val="fr-FR"/>
        </w:rPr>
        <w:t xml:space="preserve">Porte-parole : </w:t>
      </w:r>
      <w:r w:rsidRPr="004D4998">
        <w:rPr>
          <w:rFonts w:asciiTheme="minorHAnsi" w:hAnsiTheme="minorHAnsi"/>
          <w:lang w:val="fr-FR"/>
        </w:rPr>
        <w:t xml:space="preserve">Christine Lins, Secrétaire exécutive, +33 (0) 1 44 37 50 90 ; +33 6 16 01 72 89 (m); </w:t>
      </w:r>
      <w:hyperlink r:id="rId12" w:history="1">
        <w:r w:rsidRPr="004D4998">
          <w:rPr>
            <w:rStyle w:val="Hyperlink1"/>
            <w:rFonts w:asciiTheme="minorHAnsi" w:hAnsiTheme="minorHAnsi"/>
            <w:lang w:val="fr-FR"/>
          </w:rPr>
          <w:t>christine.lins@ren21.net</w:t>
        </w:r>
      </w:hyperlink>
    </w:p>
    <w:p w14:paraId="52C66043" w14:textId="77777777" w:rsidR="009C208D" w:rsidRPr="004D4998" w:rsidRDefault="009C208D" w:rsidP="009C208D">
      <w:pPr>
        <w:pStyle w:val="BodyA"/>
        <w:widowControl w:val="0"/>
        <w:suppressAutoHyphens/>
        <w:spacing w:after="0" w:line="240" w:lineRule="auto"/>
        <w:rPr>
          <w:rFonts w:asciiTheme="minorHAnsi" w:eastAsia="Times New Roman" w:hAnsiTheme="minorHAnsi" w:cs="Times New Roman"/>
          <w:lang w:val="fr-FR"/>
        </w:rPr>
      </w:pPr>
    </w:p>
    <w:p w14:paraId="1F67C60E" w14:textId="77777777" w:rsidR="009C208D" w:rsidRPr="004D4998" w:rsidRDefault="009C208D" w:rsidP="009C208D">
      <w:pPr>
        <w:pStyle w:val="BodyA"/>
        <w:widowControl w:val="0"/>
        <w:suppressAutoHyphens/>
        <w:spacing w:after="0" w:line="240" w:lineRule="auto"/>
        <w:rPr>
          <w:rFonts w:asciiTheme="minorHAnsi" w:eastAsia="Times New Roman" w:hAnsiTheme="minorHAnsi" w:cs="Times New Roman"/>
          <w:lang w:val="fr-FR"/>
        </w:rPr>
      </w:pPr>
      <w:r w:rsidRPr="004D4998">
        <w:rPr>
          <w:rFonts w:asciiTheme="minorHAnsi" w:hAnsiTheme="minorHAnsi"/>
          <w:b/>
          <w:bCs/>
          <w:lang w:val="fr-FR"/>
        </w:rPr>
        <w:t xml:space="preserve">Personne responsable des médias : </w:t>
      </w:r>
      <w:r w:rsidRPr="004D4998">
        <w:rPr>
          <w:rFonts w:asciiTheme="minorHAnsi" w:hAnsiTheme="minorHAnsi"/>
          <w:lang w:val="fr-FR"/>
        </w:rPr>
        <w:t xml:space="preserve">Laura Williamson, Directrice de la communication et de l’information, +33 (0) 1 44 37 50 99; +33 6 03 06 02 58 (m); </w:t>
      </w:r>
      <w:hyperlink r:id="rId13" w:history="1">
        <w:r w:rsidRPr="004D4998">
          <w:rPr>
            <w:rStyle w:val="Hyperlink1"/>
            <w:rFonts w:asciiTheme="minorHAnsi" w:hAnsiTheme="minorHAnsi"/>
            <w:lang w:val="fr-FR"/>
          </w:rPr>
          <w:t>laura.williamson@ren21.net</w:t>
        </w:r>
      </w:hyperlink>
    </w:p>
    <w:p w14:paraId="098A71F1" w14:textId="5F3240E8" w:rsidR="00146E6F" w:rsidRPr="004D4998" w:rsidRDefault="00146E6F" w:rsidP="00146E6F">
      <w:pPr>
        <w:pStyle w:val="BodyA"/>
        <w:widowControl w:val="0"/>
        <w:suppressAutoHyphens/>
        <w:spacing w:after="0" w:line="240" w:lineRule="auto"/>
        <w:rPr>
          <w:rStyle w:val="Hyperlink"/>
          <w:rFonts w:asciiTheme="minorHAnsi" w:hAnsiTheme="minorHAnsi"/>
          <w:lang w:val="fr-FR"/>
        </w:rPr>
      </w:pPr>
    </w:p>
    <w:sectPr w:rsidR="00146E6F" w:rsidRPr="004D4998" w:rsidSect="008D30AF">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BB4C4" w14:textId="77777777" w:rsidR="005D4D55" w:rsidRDefault="005D4D55" w:rsidP="004B1806">
      <w:pPr>
        <w:spacing w:after="0" w:line="240" w:lineRule="auto"/>
      </w:pPr>
      <w:r>
        <w:separator/>
      </w:r>
    </w:p>
  </w:endnote>
  <w:endnote w:type="continuationSeparator" w:id="0">
    <w:p w14:paraId="154FCB77" w14:textId="77777777" w:rsidR="005D4D55" w:rsidRDefault="005D4D55" w:rsidP="004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1F02" w14:textId="77777777" w:rsidR="00C21717" w:rsidRDefault="00C21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0936"/>
      <w:docPartObj>
        <w:docPartGallery w:val="Page Numbers (Bottom of Page)"/>
        <w:docPartUnique/>
      </w:docPartObj>
    </w:sdtPr>
    <w:sdtEndPr>
      <w:rPr>
        <w:noProof/>
      </w:rPr>
    </w:sdtEndPr>
    <w:sdtContent>
      <w:p w14:paraId="23A2931F" w14:textId="77777777" w:rsidR="00C21717" w:rsidRDefault="00C21717" w:rsidP="008D30AF">
        <w:pPr>
          <w:pStyle w:val="Footer"/>
          <w:jc w:val="right"/>
        </w:pPr>
        <w:r>
          <w:t xml:space="preserve">Page | </w:t>
        </w:r>
        <w:r>
          <w:fldChar w:fldCharType="begin"/>
        </w:r>
        <w:r>
          <w:instrText xml:space="preserve"> PAGE   \* MERGEFORMAT </w:instrText>
        </w:r>
        <w:r>
          <w:fldChar w:fldCharType="separate"/>
        </w:r>
        <w:r w:rsidR="006E46EE">
          <w:rPr>
            <w:noProof/>
          </w:rPr>
          <w:t>2</w:t>
        </w:r>
        <w:r>
          <w:rPr>
            <w:noProof/>
          </w:rPr>
          <w:fldChar w:fldCharType="end"/>
        </w:r>
        <w:r>
          <w:rPr>
            <w:noProof/>
          </w:rPr>
          <w:t xml:space="preserve">                                                                                                                                       </w:t>
        </w:r>
        <w:r w:rsidRPr="00551126">
          <w:rPr>
            <w:rFonts w:ascii="Arial" w:hAnsi="Arial" w:cs="Arial"/>
            <w:noProof/>
            <w:sz w:val="16"/>
            <w:szCs w:val="16"/>
            <w:lang w:val="en-GB" w:eastAsia="en-GB"/>
          </w:rPr>
          <w:drawing>
            <wp:inline distT="0" distB="0" distL="0" distR="0" wp14:anchorId="36F816F7" wp14:editId="6695C191">
              <wp:extent cx="964096" cy="274523"/>
              <wp:effectExtent l="0" t="0" r="7620" b="0"/>
              <wp:docPr id="2"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973653" cy="277244"/>
                      </a:xfrm>
                      <a:prstGeom prst="rect">
                        <a:avLst/>
                      </a:prstGeom>
                    </pic:spPr>
                  </pic:pic>
                </a:graphicData>
              </a:graphic>
            </wp:inline>
          </w:drawing>
        </w:r>
      </w:p>
    </w:sdtContent>
  </w:sdt>
  <w:p w14:paraId="2EF2C762" w14:textId="77777777" w:rsidR="00C21717" w:rsidRPr="0052639C" w:rsidRDefault="00C21717">
    <w:pPr>
      <w:pStyle w:val="Footer"/>
      <w:rPr>
        <w:sz w:val="2"/>
        <w:szCs w:val="2"/>
      </w:rPr>
    </w:pPr>
    <w:r>
      <w:rPr>
        <w:sz w:val="2"/>
        <w:szCs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93"/>
      <w:gridCol w:w="5289"/>
    </w:tblGrid>
    <w:tr w:rsidR="00C21717" w:rsidRPr="00551126" w14:paraId="7806DB64" w14:textId="77777777" w:rsidTr="00F23946">
      <w:trPr>
        <w:trHeight w:val="24"/>
      </w:trPr>
      <w:tc>
        <w:tcPr>
          <w:tcW w:w="4793" w:type="dxa"/>
          <w:tcBorders>
            <w:right w:val="single" w:sz="12" w:space="0" w:color="FFC000"/>
          </w:tcBorders>
          <w:shd w:val="clear" w:color="auto" w:fill="FFFFFF" w:themeFill="background1"/>
          <w:tcMar>
            <w:left w:w="144" w:type="dxa"/>
            <w:right w:w="144" w:type="dxa"/>
          </w:tcMar>
        </w:tcPr>
        <w:p w14:paraId="51DDB2A3" w14:textId="77777777" w:rsidR="00C21717" w:rsidRDefault="00C21717" w:rsidP="00282C1A">
          <w:pPr>
            <w:jc w:val="right"/>
          </w:pPr>
          <w:r w:rsidRPr="00551126">
            <w:rPr>
              <w:rFonts w:ascii="Arial" w:hAnsi="Arial" w:cs="Arial"/>
              <w:noProof/>
              <w:sz w:val="16"/>
              <w:szCs w:val="16"/>
              <w:lang w:val="en-GB" w:eastAsia="en-GB"/>
            </w:rPr>
            <w:drawing>
              <wp:inline distT="0" distB="0" distL="0" distR="0" wp14:anchorId="4389DF18" wp14:editId="1B4061DB">
                <wp:extent cx="964096" cy="274523"/>
                <wp:effectExtent l="0" t="0" r="7620" b="0"/>
                <wp:docPr id="6"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973653" cy="277244"/>
                        </a:xfrm>
                        <a:prstGeom prst="rect">
                          <a:avLst/>
                        </a:prstGeom>
                      </pic:spPr>
                    </pic:pic>
                  </a:graphicData>
                </a:graphic>
              </wp:inline>
            </w:drawing>
          </w:r>
        </w:p>
        <w:p w14:paraId="411AEB6F" w14:textId="77777777" w:rsidR="00C21717" w:rsidRPr="00551126" w:rsidRDefault="00C21717" w:rsidP="00F23946"/>
      </w:tc>
      <w:tc>
        <w:tcPr>
          <w:tcW w:w="5289" w:type="dxa"/>
          <w:tcBorders>
            <w:left w:val="single" w:sz="12" w:space="0" w:color="FFC000"/>
          </w:tcBorders>
          <w:shd w:val="clear" w:color="auto" w:fill="FFFFFF" w:themeFill="background1"/>
          <w:tcMar>
            <w:left w:w="144" w:type="dxa"/>
            <w:right w:w="144" w:type="dxa"/>
          </w:tcMar>
        </w:tcPr>
        <w:p w14:paraId="40C6E175" w14:textId="77777777" w:rsidR="00C21717" w:rsidRPr="00146E6F" w:rsidRDefault="00C21717" w:rsidP="00F23946">
          <w:pPr>
            <w:rPr>
              <w:rFonts w:ascii="Tahoma" w:hAnsi="Tahoma" w:cs="Tahoma"/>
              <w:b/>
              <w:bCs/>
              <w:sz w:val="18"/>
              <w:szCs w:val="16"/>
              <w:lang w:val="es-ES"/>
            </w:rPr>
          </w:pPr>
          <w:r w:rsidRPr="00146E6F">
            <w:rPr>
              <w:rFonts w:ascii="Tahoma" w:hAnsi="Tahoma" w:cs="Tahoma"/>
              <w:b/>
              <w:bCs/>
              <w:sz w:val="18"/>
              <w:szCs w:val="16"/>
              <w:lang w:val="es-ES"/>
            </w:rPr>
            <w:t xml:space="preserve">REN21 </w:t>
          </w:r>
          <w:proofErr w:type="spellStart"/>
          <w:r w:rsidRPr="00146E6F">
            <w:rPr>
              <w:rFonts w:ascii="Tahoma" w:hAnsi="Tahoma" w:cs="Tahoma"/>
              <w:b/>
              <w:bCs/>
              <w:sz w:val="18"/>
              <w:szCs w:val="16"/>
              <w:lang w:val="es-ES"/>
            </w:rPr>
            <w:t>Secretariat</w:t>
          </w:r>
          <w:proofErr w:type="spellEnd"/>
        </w:p>
        <w:p w14:paraId="28C42111" w14:textId="77777777" w:rsidR="00C21717" w:rsidRPr="00146E6F" w:rsidRDefault="00C21717" w:rsidP="00F23946">
          <w:pPr>
            <w:rPr>
              <w:rFonts w:ascii="Tahoma" w:hAnsi="Tahoma" w:cs="Tahoma"/>
              <w:b/>
              <w:bCs/>
              <w:sz w:val="8"/>
              <w:szCs w:val="8"/>
              <w:lang w:val="es-ES"/>
            </w:rPr>
          </w:pPr>
        </w:p>
        <w:p w14:paraId="073561AB" w14:textId="77777777" w:rsidR="00C21717" w:rsidRPr="00146E6F" w:rsidRDefault="00C21717" w:rsidP="00F23946">
          <w:pPr>
            <w:rPr>
              <w:rFonts w:ascii="Tahoma" w:hAnsi="Tahoma" w:cs="Tahoma"/>
              <w:bCs/>
              <w:sz w:val="16"/>
              <w:szCs w:val="16"/>
              <w:lang w:val="es-ES"/>
            </w:rPr>
          </w:pPr>
          <w:r w:rsidRPr="00146E6F">
            <w:rPr>
              <w:rFonts w:ascii="Tahoma" w:hAnsi="Tahoma" w:cs="Tahoma"/>
              <w:bCs/>
              <w:sz w:val="16"/>
              <w:szCs w:val="16"/>
              <w:lang w:val="es-ES"/>
            </w:rPr>
            <w:t xml:space="preserve">c/o UN </w:t>
          </w:r>
          <w:proofErr w:type="spellStart"/>
          <w:r w:rsidRPr="00146E6F">
            <w:rPr>
              <w:rFonts w:ascii="Tahoma" w:hAnsi="Tahoma" w:cs="Tahoma"/>
              <w:bCs/>
              <w:sz w:val="16"/>
              <w:szCs w:val="16"/>
              <w:lang w:val="es-ES"/>
            </w:rPr>
            <w:t>Environment</w:t>
          </w:r>
          <w:proofErr w:type="spellEnd"/>
        </w:p>
        <w:p w14:paraId="25F0A474" w14:textId="77777777" w:rsidR="00C21717" w:rsidRPr="00146E6F" w:rsidRDefault="00C21717" w:rsidP="00F23946">
          <w:pPr>
            <w:rPr>
              <w:rFonts w:ascii="Tahoma" w:hAnsi="Tahoma" w:cs="Tahoma"/>
              <w:bCs/>
              <w:sz w:val="8"/>
              <w:szCs w:val="8"/>
              <w:lang w:val="es-ES"/>
            </w:rPr>
          </w:pPr>
        </w:p>
        <w:p w14:paraId="1BE1CCFC" w14:textId="77777777" w:rsidR="00C21717" w:rsidRPr="00146E6F" w:rsidRDefault="00C21717" w:rsidP="00F23946">
          <w:pPr>
            <w:rPr>
              <w:rFonts w:ascii="Tahoma" w:hAnsi="Tahoma" w:cs="Tahoma"/>
              <w:bCs/>
              <w:sz w:val="16"/>
              <w:szCs w:val="16"/>
              <w:lang w:val="en-GB"/>
            </w:rPr>
          </w:pPr>
          <w:r w:rsidRPr="00146E6F">
            <w:rPr>
              <w:rFonts w:ascii="Tahoma" w:hAnsi="Tahoma" w:cs="Tahoma"/>
              <w:bCs/>
              <w:sz w:val="16"/>
              <w:szCs w:val="16"/>
              <w:lang w:val="en-GB"/>
            </w:rPr>
            <w:t xml:space="preserve">1 rue </w:t>
          </w:r>
          <w:proofErr w:type="spellStart"/>
          <w:r w:rsidRPr="00146E6F">
            <w:rPr>
              <w:rFonts w:ascii="Tahoma" w:hAnsi="Tahoma" w:cs="Tahoma"/>
              <w:bCs/>
              <w:sz w:val="16"/>
              <w:szCs w:val="16"/>
              <w:lang w:val="en-GB"/>
            </w:rPr>
            <w:t>Miollis</w:t>
          </w:r>
          <w:proofErr w:type="spellEnd"/>
          <w:r w:rsidRPr="00146E6F">
            <w:rPr>
              <w:rFonts w:ascii="Tahoma" w:hAnsi="Tahoma" w:cs="Tahoma"/>
              <w:bCs/>
              <w:sz w:val="16"/>
              <w:szCs w:val="16"/>
              <w:lang w:val="en-GB"/>
            </w:rPr>
            <w:t xml:space="preserve"> • Building VII • 75015 Paris • France </w:t>
          </w:r>
        </w:p>
        <w:p w14:paraId="4081A707" w14:textId="77777777" w:rsidR="00C21717" w:rsidRPr="005C2C0B" w:rsidRDefault="00C21717" w:rsidP="00F23946">
          <w:pPr>
            <w:rPr>
              <w:rFonts w:ascii="Tahoma" w:hAnsi="Tahoma" w:cs="Tahoma"/>
              <w:bCs/>
              <w:sz w:val="16"/>
              <w:szCs w:val="16"/>
              <w:lang w:val="fr-FR"/>
            </w:rPr>
          </w:pPr>
          <w:r w:rsidRPr="005C2C0B">
            <w:rPr>
              <w:rFonts w:ascii="Tahoma" w:hAnsi="Tahoma" w:cs="Tahoma"/>
              <w:bCs/>
              <w:sz w:val="16"/>
              <w:szCs w:val="16"/>
              <w:lang w:val="fr-FR"/>
            </w:rPr>
            <w:t>Tel: +33 1 44 37 50 90 • Fax: +33 1 44 37 50 95</w:t>
          </w:r>
        </w:p>
        <w:p w14:paraId="48F19C52" w14:textId="77777777" w:rsidR="00C21717" w:rsidRPr="00282C1A" w:rsidRDefault="00C21717" w:rsidP="00F23946">
          <w:pPr>
            <w:rPr>
              <w:rFonts w:ascii="Tahoma" w:hAnsi="Tahoma" w:cs="Tahoma"/>
              <w:bCs/>
              <w:sz w:val="18"/>
              <w:szCs w:val="16"/>
            </w:rPr>
          </w:pPr>
          <w:r w:rsidRPr="005C2C0B">
            <w:rPr>
              <w:rFonts w:ascii="Tahoma" w:hAnsi="Tahoma" w:cs="Tahoma"/>
              <w:bCs/>
              <w:sz w:val="16"/>
              <w:szCs w:val="16"/>
              <w:lang w:val="fr-FR"/>
            </w:rPr>
            <w:t>secretariat@ren21.net • www.</w:t>
          </w:r>
          <w:r w:rsidRPr="00156F43">
            <w:rPr>
              <w:rFonts w:ascii="Tahoma" w:hAnsi="Tahoma" w:cs="Tahoma"/>
              <w:bCs/>
              <w:sz w:val="16"/>
              <w:szCs w:val="16"/>
            </w:rPr>
            <w:t>ren21.net</w:t>
          </w:r>
          <w:r w:rsidRPr="00282C1A">
            <w:rPr>
              <w:rFonts w:ascii="Tahoma" w:hAnsi="Tahoma" w:cs="Tahoma"/>
              <w:bCs/>
              <w:sz w:val="18"/>
              <w:szCs w:val="16"/>
            </w:rPr>
            <w:t xml:space="preserve"> </w:t>
          </w:r>
        </w:p>
      </w:tc>
    </w:tr>
  </w:tbl>
  <w:p w14:paraId="3A1B70DB" w14:textId="77777777" w:rsidR="00C21717" w:rsidRPr="0052639C" w:rsidRDefault="00C2171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7486D" w14:textId="77777777" w:rsidR="005D4D55" w:rsidRDefault="005D4D55" w:rsidP="004B1806">
      <w:pPr>
        <w:spacing w:after="0" w:line="240" w:lineRule="auto"/>
      </w:pPr>
      <w:r>
        <w:separator/>
      </w:r>
    </w:p>
  </w:footnote>
  <w:footnote w:type="continuationSeparator" w:id="0">
    <w:p w14:paraId="083E5BA5" w14:textId="77777777" w:rsidR="005D4D55" w:rsidRDefault="005D4D55" w:rsidP="004B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AB12" w14:textId="77777777" w:rsidR="00C21717" w:rsidRDefault="00C21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4F7E" w14:textId="77777777" w:rsidR="00C21717" w:rsidRPr="004B1806" w:rsidRDefault="00C21717" w:rsidP="00E007DD">
    <w:pPr>
      <w:spacing w:after="0" w:line="240" w:lineRule="auto"/>
      <w:jc w:val="center"/>
      <w:rPr>
        <w:rFonts w:ascii="Tahoma" w:hAnsi="Tahoma" w:cs="Tahoma"/>
        <w:b/>
        <w:bCs/>
        <w:sz w:val="16"/>
        <w:szCs w:val="16"/>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D21E" w14:textId="77777777" w:rsidR="00C21717" w:rsidRDefault="00C21717" w:rsidP="00282C1A">
    <w:pPr>
      <w:pStyle w:val="Header"/>
      <w:jc w:val="center"/>
    </w:pPr>
    <w:r w:rsidRPr="004B1806">
      <w:rPr>
        <w:noProof/>
        <w:lang w:val="en-GB" w:eastAsia="en-GB"/>
      </w:rPr>
      <w:drawing>
        <wp:inline distT="0" distB="0" distL="0" distR="0" wp14:anchorId="1A2FCE97" wp14:editId="37153473">
          <wp:extent cx="2051437" cy="584139"/>
          <wp:effectExtent l="0" t="0" r="6350" b="6985"/>
          <wp:docPr id="3"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2075942" cy="5911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7BE"/>
    <w:multiLevelType w:val="hybridMultilevel"/>
    <w:tmpl w:val="77185D42"/>
    <w:lvl w:ilvl="0" w:tplc="5BC29AB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64D84"/>
    <w:multiLevelType w:val="hybridMultilevel"/>
    <w:tmpl w:val="1ACA33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7893051"/>
    <w:multiLevelType w:val="hybridMultilevel"/>
    <w:tmpl w:val="96A479DC"/>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0B3B012B"/>
    <w:multiLevelType w:val="hybridMultilevel"/>
    <w:tmpl w:val="EBA4712E"/>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nsid w:val="0C431462"/>
    <w:multiLevelType w:val="hybridMultilevel"/>
    <w:tmpl w:val="6CB87146"/>
    <w:lvl w:ilvl="0" w:tplc="5BC29AB8">
      <w:start w:val="3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0FB131C"/>
    <w:multiLevelType w:val="hybridMultilevel"/>
    <w:tmpl w:val="BE347B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158A7372"/>
    <w:multiLevelType w:val="hybridMultilevel"/>
    <w:tmpl w:val="A22039A6"/>
    <w:lvl w:ilvl="0" w:tplc="0409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19266EA8"/>
    <w:multiLevelType w:val="hybridMultilevel"/>
    <w:tmpl w:val="CFF22AF0"/>
    <w:lvl w:ilvl="0" w:tplc="38AA21C2">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D6685"/>
    <w:multiLevelType w:val="hybridMultilevel"/>
    <w:tmpl w:val="91B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E63FA"/>
    <w:multiLevelType w:val="hybridMultilevel"/>
    <w:tmpl w:val="64884052"/>
    <w:lvl w:ilvl="0" w:tplc="5BC29AB8">
      <w:start w:val="31"/>
      <w:numFmt w:val="bullet"/>
      <w:lvlText w:val="-"/>
      <w:lvlJc w:val="left"/>
      <w:pPr>
        <w:ind w:left="1050" w:hanging="360"/>
      </w:pPr>
      <w:rPr>
        <w:rFonts w:ascii="Calibri" w:eastAsiaTheme="minorHAnsi" w:hAnsi="Calibri"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nsid w:val="26E6022F"/>
    <w:multiLevelType w:val="hybridMultilevel"/>
    <w:tmpl w:val="CB0C0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987B9B"/>
    <w:multiLevelType w:val="hybridMultilevel"/>
    <w:tmpl w:val="587C1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46526"/>
    <w:multiLevelType w:val="hybridMultilevel"/>
    <w:tmpl w:val="FB9AE4C6"/>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nsid w:val="291D0431"/>
    <w:multiLevelType w:val="hybridMultilevel"/>
    <w:tmpl w:val="DB025F08"/>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3CE69C30">
      <w:numFmt w:val="bullet"/>
      <w:lvlText w:val="-"/>
      <w:lvlJc w:val="left"/>
      <w:pPr>
        <w:ind w:left="3600" w:hanging="360"/>
      </w:pPr>
      <w:rPr>
        <w:rFonts w:ascii="Times New Roman" w:eastAsia="SimSun" w:hAnsi="Times New Roma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F6C78EF"/>
    <w:multiLevelType w:val="hybridMultilevel"/>
    <w:tmpl w:val="95BAAD98"/>
    <w:lvl w:ilvl="0" w:tplc="3B78B2DA">
      <w:start w:val="1"/>
      <w:numFmt w:val="lowerRoman"/>
      <w:lvlText w:val="%1."/>
      <w:lvlJc w:val="left"/>
      <w:pPr>
        <w:ind w:left="360" w:hanging="360"/>
      </w:pPr>
      <w:rPr>
        <w:b w:val="0"/>
      </w:rPr>
    </w:lvl>
    <w:lvl w:ilvl="1" w:tplc="2D2679D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D2794"/>
    <w:multiLevelType w:val="hybridMultilevel"/>
    <w:tmpl w:val="1B1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024A19"/>
    <w:multiLevelType w:val="hybridMultilevel"/>
    <w:tmpl w:val="C4E65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A1C5C"/>
    <w:multiLevelType w:val="hybridMultilevel"/>
    <w:tmpl w:val="399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627A28"/>
    <w:multiLevelType w:val="hybridMultilevel"/>
    <w:tmpl w:val="3F900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9B6B38"/>
    <w:multiLevelType w:val="hybridMultilevel"/>
    <w:tmpl w:val="0C12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E456A2"/>
    <w:multiLevelType w:val="hybridMultilevel"/>
    <w:tmpl w:val="827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E45C3"/>
    <w:multiLevelType w:val="hybridMultilevel"/>
    <w:tmpl w:val="50F2B6AE"/>
    <w:lvl w:ilvl="0" w:tplc="E4B6C556">
      <w:start w:val="1"/>
      <w:numFmt w:val="lowerRoman"/>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3F129E"/>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CDE528C"/>
    <w:multiLevelType w:val="hybridMultilevel"/>
    <w:tmpl w:val="09CC1A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C72827"/>
    <w:multiLevelType w:val="hybridMultilevel"/>
    <w:tmpl w:val="59B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5542E0"/>
    <w:multiLevelType w:val="hybridMultilevel"/>
    <w:tmpl w:val="7924F240"/>
    <w:lvl w:ilvl="0" w:tplc="38AA21C2">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825165"/>
    <w:multiLevelType w:val="hybridMultilevel"/>
    <w:tmpl w:val="CE9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741640"/>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1655B4C"/>
    <w:multiLevelType w:val="hybridMultilevel"/>
    <w:tmpl w:val="548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1406F0"/>
    <w:multiLevelType w:val="hybridMultilevel"/>
    <w:tmpl w:val="997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D44CB2"/>
    <w:multiLevelType w:val="hybridMultilevel"/>
    <w:tmpl w:val="F0C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C6910"/>
    <w:multiLevelType w:val="hybridMultilevel"/>
    <w:tmpl w:val="D3BA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7B2445"/>
    <w:multiLevelType w:val="hybridMultilevel"/>
    <w:tmpl w:val="A73E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91089D"/>
    <w:multiLevelType w:val="hybridMultilevel"/>
    <w:tmpl w:val="2466BA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4">
    <w:nsid w:val="660C2632"/>
    <w:multiLevelType w:val="multilevel"/>
    <w:tmpl w:val="F846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8210D76"/>
    <w:multiLevelType w:val="hybridMultilevel"/>
    <w:tmpl w:val="131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77516"/>
    <w:multiLevelType w:val="hybridMultilevel"/>
    <w:tmpl w:val="25D48126"/>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7">
    <w:nsid w:val="6AF61EF4"/>
    <w:multiLevelType w:val="hybridMultilevel"/>
    <w:tmpl w:val="409041D8"/>
    <w:lvl w:ilvl="0" w:tplc="468CB836">
      <w:start w:val="1"/>
      <w:numFmt w:val="bullet"/>
      <w:lvlText w:val=""/>
      <w:lvlJc w:val="left"/>
      <w:pPr>
        <w:tabs>
          <w:tab w:val="num" w:pos="720"/>
        </w:tabs>
        <w:ind w:left="720" w:hanging="360"/>
      </w:pPr>
      <w:rPr>
        <w:rFonts w:ascii="Wingdings" w:hAnsi="Wingdings" w:hint="default"/>
      </w:rPr>
    </w:lvl>
    <w:lvl w:ilvl="1" w:tplc="723AB8B8" w:tentative="1">
      <w:start w:val="1"/>
      <w:numFmt w:val="bullet"/>
      <w:lvlText w:val=""/>
      <w:lvlJc w:val="left"/>
      <w:pPr>
        <w:tabs>
          <w:tab w:val="num" w:pos="1440"/>
        </w:tabs>
        <w:ind w:left="1440" w:hanging="360"/>
      </w:pPr>
      <w:rPr>
        <w:rFonts w:ascii="Wingdings" w:hAnsi="Wingdings" w:hint="default"/>
      </w:rPr>
    </w:lvl>
    <w:lvl w:ilvl="2" w:tplc="1C90FF3C" w:tentative="1">
      <w:start w:val="1"/>
      <w:numFmt w:val="bullet"/>
      <w:lvlText w:val=""/>
      <w:lvlJc w:val="left"/>
      <w:pPr>
        <w:tabs>
          <w:tab w:val="num" w:pos="2160"/>
        </w:tabs>
        <w:ind w:left="2160" w:hanging="360"/>
      </w:pPr>
      <w:rPr>
        <w:rFonts w:ascii="Wingdings" w:hAnsi="Wingdings" w:hint="default"/>
      </w:rPr>
    </w:lvl>
    <w:lvl w:ilvl="3" w:tplc="5C6AEB10" w:tentative="1">
      <w:start w:val="1"/>
      <w:numFmt w:val="bullet"/>
      <w:lvlText w:val=""/>
      <w:lvlJc w:val="left"/>
      <w:pPr>
        <w:tabs>
          <w:tab w:val="num" w:pos="2880"/>
        </w:tabs>
        <w:ind w:left="2880" w:hanging="360"/>
      </w:pPr>
      <w:rPr>
        <w:rFonts w:ascii="Wingdings" w:hAnsi="Wingdings" w:hint="default"/>
      </w:rPr>
    </w:lvl>
    <w:lvl w:ilvl="4" w:tplc="71B24EC0" w:tentative="1">
      <w:start w:val="1"/>
      <w:numFmt w:val="bullet"/>
      <w:lvlText w:val=""/>
      <w:lvlJc w:val="left"/>
      <w:pPr>
        <w:tabs>
          <w:tab w:val="num" w:pos="3600"/>
        </w:tabs>
        <w:ind w:left="3600" w:hanging="360"/>
      </w:pPr>
      <w:rPr>
        <w:rFonts w:ascii="Wingdings" w:hAnsi="Wingdings" w:hint="default"/>
      </w:rPr>
    </w:lvl>
    <w:lvl w:ilvl="5" w:tplc="A3CE8E8A" w:tentative="1">
      <w:start w:val="1"/>
      <w:numFmt w:val="bullet"/>
      <w:lvlText w:val=""/>
      <w:lvlJc w:val="left"/>
      <w:pPr>
        <w:tabs>
          <w:tab w:val="num" w:pos="4320"/>
        </w:tabs>
        <w:ind w:left="4320" w:hanging="360"/>
      </w:pPr>
      <w:rPr>
        <w:rFonts w:ascii="Wingdings" w:hAnsi="Wingdings" w:hint="default"/>
      </w:rPr>
    </w:lvl>
    <w:lvl w:ilvl="6" w:tplc="B7805C3A" w:tentative="1">
      <w:start w:val="1"/>
      <w:numFmt w:val="bullet"/>
      <w:lvlText w:val=""/>
      <w:lvlJc w:val="left"/>
      <w:pPr>
        <w:tabs>
          <w:tab w:val="num" w:pos="5040"/>
        </w:tabs>
        <w:ind w:left="5040" w:hanging="360"/>
      </w:pPr>
      <w:rPr>
        <w:rFonts w:ascii="Wingdings" w:hAnsi="Wingdings" w:hint="default"/>
      </w:rPr>
    </w:lvl>
    <w:lvl w:ilvl="7" w:tplc="8744A0E0" w:tentative="1">
      <w:start w:val="1"/>
      <w:numFmt w:val="bullet"/>
      <w:lvlText w:val=""/>
      <w:lvlJc w:val="left"/>
      <w:pPr>
        <w:tabs>
          <w:tab w:val="num" w:pos="5760"/>
        </w:tabs>
        <w:ind w:left="5760" w:hanging="360"/>
      </w:pPr>
      <w:rPr>
        <w:rFonts w:ascii="Wingdings" w:hAnsi="Wingdings" w:hint="default"/>
      </w:rPr>
    </w:lvl>
    <w:lvl w:ilvl="8" w:tplc="59F2154A" w:tentative="1">
      <w:start w:val="1"/>
      <w:numFmt w:val="bullet"/>
      <w:lvlText w:val=""/>
      <w:lvlJc w:val="left"/>
      <w:pPr>
        <w:tabs>
          <w:tab w:val="num" w:pos="6480"/>
        </w:tabs>
        <w:ind w:left="6480" w:hanging="360"/>
      </w:pPr>
      <w:rPr>
        <w:rFonts w:ascii="Wingdings" w:hAnsi="Wingdings" w:hint="default"/>
      </w:rPr>
    </w:lvl>
  </w:abstractNum>
  <w:abstractNum w:abstractNumId="38">
    <w:nsid w:val="6D1627F7"/>
    <w:multiLevelType w:val="multilevel"/>
    <w:tmpl w:val="B8AE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D971159"/>
    <w:multiLevelType w:val="hybridMultilevel"/>
    <w:tmpl w:val="6C08DBEC"/>
    <w:lvl w:ilvl="0" w:tplc="04090003">
      <w:start w:val="1"/>
      <w:numFmt w:val="low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3C39AD"/>
    <w:multiLevelType w:val="hybridMultilevel"/>
    <w:tmpl w:val="C59CA2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5C545D6"/>
    <w:multiLevelType w:val="hybridMultilevel"/>
    <w:tmpl w:val="F56A6F30"/>
    <w:lvl w:ilvl="0" w:tplc="DEB09D40">
      <w:start w:val="1"/>
      <w:numFmt w:val="low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A5468B"/>
    <w:multiLevelType w:val="hybridMultilevel"/>
    <w:tmpl w:val="0D167FE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34"/>
  </w:num>
  <w:num w:numId="3">
    <w:abstractNumId w:val="35"/>
  </w:num>
  <w:num w:numId="4">
    <w:abstractNumId w:val="30"/>
  </w:num>
  <w:num w:numId="5">
    <w:abstractNumId w:val="6"/>
  </w:num>
  <w:num w:numId="6">
    <w:abstractNumId w:val="33"/>
  </w:num>
  <w:num w:numId="7">
    <w:abstractNumId w:val="25"/>
  </w:num>
  <w:num w:numId="8">
    <w:abstractNumId w:val="7"/>
  </w:num>
  <w:num w:numId="9">
    <w:abstractNumId w:val="32"/>
  </w:num>
  <w:num w:numId="10">
    <w:abstractNumId w:val="29"/>
  </w:num>
  <w:num w:numId="11">
    <w:abstractNumId w:val="16"/>
  </w:num>
  <w:num w:numId="12">
    <w:abstractNumId w:val="41"/>
  </w:num>
  <w:num w:numId="13">
    <w:abstractNumId w:val="21"/>
  </w:num>
  <w:num w:numId="14">
    <w:abstractNumId w:val="14"/>
  </w:num>
  <w:num w:numId="15">
    <w:abstractNumId w:val="39"/>
  </w:num>
  <w:num w:numId="16">
    <w:abstractNumId w:val="11"/>
  </w:num>
  <w:num w:numId="17">
    <w:abstractNumId w:val="20"/>
  </w:num>
  <w:num w:numId="18">
    <w:abstractNumId w:val="28"/>
  </w:num>
  <w:num w:numId="19">
    <w:abstractNumId w:val="15"/>
  </w:num>
  <w:num w:numId="20">
    <w:abstractNumId w:val="13"/>
  </w:num>
  <w:num w:numId="21">
    <w:abstractNumId w:val="18"/>
  </w:num>
  <w:num w:numId="22">
    <w:abstractNumId w:val="0"/>
  </w:num>
  <w:num w:numId="23">
    <w:abstractNumId w:val="9"/>
  </w:num>
  <w:num w:numId="24">
    <w:abstractNumId w:val="4"/>
  </w:num>
  <w:num w:numId="25">
    <w:abstractNumId w:val="40"/>
  </w:num>
  <w:num w:numId="26">
    <w:abstractNumId w:val="23"/>
  </w:num>
  <w:num w:numId="27">
    <w:abstractNumId w:val="1"/>
  </w:num>
  <w:num w:numId="28">
    <w:abstractNumId w:val="5"/>
  </w:num>
  <w:num w:numId="29">
    <w:abstractNumId w:val="17"/>
  </w:num>
  <w:num w:numId="30">
    <w:abstractNumId w:val="10"/>
  </w:num>
  <w:num w:numId="31">
    <w:abstractNumId w:val="19"/>
  </w:num>
  <w:num w:numId="32">
    <w:abstractNumId w:val="22"/>
  </w:num>
  <w:num w:numId="33">
    <w:abstractNumId w:val="3"/>
  </w:num>
  <w:num w:numId="34">
    <w:abstractNumId w:val="36"/>
  </w:num>
  <w:num w:numId="35">
    <w:abstractNumId w:val="2"/>
  </w:num>
  <w:num w:numId="36">
    <w:abstractNumId w:val="12"/>
  </w:num>
  <w:num w:numId="37">
    <w:abstractNumId w:val="27"/>
  </w:num>
  <w:num w:numId="38">
    <w:abstractNumId w:val="26"/>
  </w:num>
  <w:num w:numId="39">
    <w:abstractNumId w:val="37"/>
  </w:num>
  <w:num w:numId="40">
    <w:abstractNumId w:val="8"/>
  </w:num>
  <w:num w:numId="41">
    <w:abstractNumId w:val="24"/>
  </w:num>
  <w:num w:numId="42">
    <w:abstractNumId w:val="4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81"/>
    <w:rsid w:val="00005AB5"/>
    <w:rsid w:val="00063123"/>
    <w:rsid w:val="000E4DFB"/>
    <w:rsid w:val="000F1179"/>
    <w:rsid w:val="000F6F09"/>
    <w:rsid w:val="001135CC"/>
    <w:rsid w:val="0012787B"/>
    <w:rsid w:val="001333DE"/>
    <w:rsid w:val="00146E6F"/>
    <w:rsid w:val="00153C8C"/>
    <w:rsid w:val="001540EC"/>
    <w:rsid w:val="00156F43"/>
    <w:rsid w:val="00160A51"/>
    <w:rsid w:val="00163F29"/>
    <w:rsid w:val="001B5B94"/>
    <w:rsid w:val="001D0C1D"/>
    <w:rsid w:val="001D5291"/>
    <w:rsid w:val="001F504A"/>
    <w:rsid w:val="001F6AB9"/>
    <w:rsid w:val="002031A7"/>
    <w:rsid w:val="00244C62"/>
    <w:rsid w:val="00282C1A"/>
    <w:rsid w:val="002A0F1D"/>
    <w:rsid w:val="002A2132"/>
    <w:rsid w:val="002E179C"/>
    <w:rsid w:val="002F6A10"/>
    <w:rsid w:val="00320C9E"/>
    <w:rsid w:val="003A2D52"/>
    <w:rsid w:val="003C03F1"/>
    <w:rsid w:val="003D377F"/>
    <w:rsid w:val="003E1761"/>
    <w:rsid w:val="00427A50"/>
    <w:rsid w:val="004547CF"/>
    <w:rsid w:val="004B1806"/>
    <w:rsid w:val="004C1EB0"/>
    <w:rsid w:val="004D4998"/>
    <w:rsid w:val="004D5C3A"/>
    <w:rsid w:val="00514A15"/>
    <w:rsid w:val="0052639C"/>
    <w:rsid w:val="00550178"/>
    <w:rsid w:val="00551126"/>
    <w:rsid w:val="00553A2B"/>
    <w:rsid w:val="00562700"/>
    <w:rsid w:val="00570687"/>
    <w:rsid w:val="005A23F9"/>
    <w:rsid w:val="005C2C0B"/>
    <w:rsid w:val="005D4D55"/>
    <w:rsid w:val="00611F35"/>
    <w:rsid w:val="0064377B"/>
    <w:rsid w:val="00654E07"/>
    <w:rsid w:val="006D4D7E"/>
    <w:rsid w:val="006E46EE"/>
    <w:rsid w:val="006E514A"/>
    <w:rsid w:val="00711E60"/>
    <w:rsid w:val="007318F0"/>
    <w:rsid w:val="00731B90"/>
    <w:rsid w:val="00737891"/>
    <w:rsid w:val="007458FB"/>
    <w:rsid w:val="00763FC5"/>
    <w:rsid w:val="007F4920"/>
    <w:rsid w:val="00817771"/>
    <w:rsid w:val="008239B9"/>
    <w:rsid w:val="008827DF"/>
    <w:rsid w:val="0089791E"/>
    <w:rsid w:val="008D30AF"/>
    <w:rsid w:val="008E79DB"/>
    <w:rsid w:val="008F1B81"/>
    <w:rsid w:val="00920614"/>
    <w:rsid w:val="00947F91"/>
    <w:rsid w:val="009C0E35"/>
    <w:rsid w:val="009C208D"/>
    <w:rsid w:val="009C314C"/>
    <w:rsid w:val="00A2015A"/>
    <w:rsid w:val="00A46681"/>
    <w:rsid w:val="00A50EFD"/>
    <w:rsid w:val="00AC1323"/>
    <w:rsid w:val="00AC5795"/>
    <w:rsid w:val="00AD0886"/>
    <w:rsid w:val="00B121A1"/>
    <w:rsid w:val="00B207BD"/>
    <w:rsid w:val="00B62BA8"/>
    <w:rsid w:val="00B8266E"/>
    <w:rsid w:val="00C21717"/>
    <w:rsid w:val="00C24CA5"/>
    <w:rsid w:val="00C521A8"/>
    <w:rsid w:val="00C572F9"/>
    <w:rsid w:val="00C904F9"/>
    <w:rsid w:val="00C94295"/>
    <w:rsid w:val="00CA2A94"/>
    <w:rsid w:val="00CC4F19"/>
    <w:rsid w:val="00CE755E"/>
    <w:rsid w:val="00D45E84"/>
    <w:rsid w:val="00D81CDE"/>
    <w:rsid w:val="00D90D05"/>
    <w:rsid w:val="00DA14E3"/>
    <w:rsid w:val="00DD4F39"/>
    <w:rsid w:val="00DF7803"/>
    <w:rsid w:val="00E007DD"/>
    <w:rsid w:val="00E37A36"/>
    <w:rsid w:val="00E74411"/>
    <w:rsid w:val="00E916BC"/>
    <w:rsid w:val="00E956C7"/>
    <w:rsid w:val="00EA1B23"/>
    <w:rsid w:val="00EA55E2"/>
    <w:rsid w:val="00EE1FAC"/>
    <w:rsid w:val="00F0047E"/>
    <w:rsid w:val="00F17582"/>
    <w:rsid w:val="00F23946"/>
    <w:rsid w:val="00F42C0A"/>
    <w:rsid w:val="00F43693"/>
    <w:rsid w:val="00F56B97"/>
    <w:rsid w:val="00F65462"/>
    <w:rsid w:val="00F70FD3"/>
    <w:rsid w:val="00F71CF3"/>
    <w:rsid w:val="00F7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5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F504A"/>
    <w:pPr>
      <w:keepNext/>
      <w:keepLines/>
      <w:spacing w:before="480" w:after="0"/>
      <w:jc w:val="both"/>
      <w:outlineLvl w:val="0"/>
    </w:pPr>
    <w:rPr>
      <w:rFonts w:ascii="Tahoma" w:eastAsia="Times New Roman" w:hAnsi="Tahoma" w:cs="Times New Roman"/>
      <w:b/>
      <w:bCs/>
      <w:sz w:val="28"/>
      <w:szCs w:val="28"/>
      <w:lang w:val="en-GB"/>
    </w:rPr>
  </w:style>
  <w:style w:type="paragraph" w:styleId="Heading3">
    <w:name w:val="heading 3"/>
    <w:basedOn w:val="Normal"/>
    <w:next w:val="Normal"/>
    <w:link w:val="Heading3Char"/>
    <w:rsid w:val="00550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81"/>
    <w:rPr>
      <w:rFonts w:ascii="Tahoma" w:hAnsi="Tahoma" w:cs="Tahoma"/>
      <w:sz w:val="16"/>
      <w:szCs w:val="16"/>
      <w:lang w:val="en-GB"/>
    </w:rPr>
  </w:style>
  <w:style w:type="table" w:styleId="TableGrid">
    <w:name w:val="Table Grid"/>
    <w:basedOn w:val="TableNormal"/>
    <w:uiPriority w:val="59"/>
    <w:rsid w:val="007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8F0"/>
    <w:rPr>
      <w:color w:val="0000FF" w:themeColor="hyperlink"/>
      <w:u w:val="single"/>
    </w:rPr>
  </w:style>
  <w:style w:type="paragraph" w:styleId="Header">
    <w:name w:val="header"/>
    <w:basedOn w:val="Normal"/>
    <w:link w:val="HeaderChar"/>
    <w:uiPriority w:val="99"/>
    <w:unhideWhenUsed/>
    <w:rsid w:val="004B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06"/>
    <w:rPr>
      <w:lang w:val="en-GB"/>
    </w:rPr>
  </w:style>
  <w:style w:type="paragraph" w:styleId="Footer">
    <w:name w:val="footer"/>
    <w:basedOn w:val="Normal"/>
    <w:link w:val="FooterChar"/>
    <w:uiPriority w:val="99"/>
    <w:unhideWhenUsed/>
    <w:rsid w:val="004B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06"/>
    <w:rPr>
      <w:lang w:val="en-GB"/>
    </w:rPr>
  </w:style>
  <w:style w:type="paragraph" w:styleId="ListParagraph">
    <w:name w:val="List Paragraph"/>
    <w:basedOn w:val="Normal"/>
    <w:uiPriority w:val="99"/>
    <w:qFormat/>
    <w:rsid w:val="00282C1A"/>
    <w:pPr>
      <w:ind w:left="720"/>
      <w:contextualSpacing/>
    </w:pPr>
  </w:style>
  <w:style w:type="character" w:customStyle="1" w:styleId="Heading3Char">
    <w:name w:val="Heading 3 Char"/>
    <w:basedOn w:val="DefaultParagraphFont"/>
    <w:link w:val="Heading3"/>
    <w:rsid w:val="00550178"/>
    <w:rPr>
      <w:rFonts w:asciiTheme="majorHAnsi" w:eastAsiaTheme="majorEastAsia" w:hAnsiTheme="majorHAnsi" w:cstheme="majorBidi"/>
      <w:b/>
      <w:bCs/>
      <w:color w:val="4F81BD" w:themeColor="accent1"/>
    </w:rPr>
  </w:style>
  <w:style w:type="character" w:customStyle="1" w:styleId="awc-39746364">
    <w:name w:val="awc-39746364"/>
    <w:basedOn w:val="DefaultParagraphFont"/>
    <w:rsid w:val="00550178"/>
  </w:style>
  <w:style w:type="character" w:styleId="CommentReference">
    <w:name w:val="annotation reference"/>
    <w:basedOn w:val="DefaultParagraphFont"/>
    <w:uiPriority w:val="99"/>
    <w:semiHidden/>
    <w:unhideWhenUsed/>
    <w:rsid w:val="001135CC"/>
    <w:rPr>
      <w:sz w:val="16"/>
      <w:szCs w:val="16"/>
    </w:rPr>
  </w:style>
  <w:style w:type="paragraph" w:styleId="CommentText">
    <w:name w:val="annotation text"/>
    <w:basedOn w:val="Normal"/>
    <w:link w:val="CommentTextChar"/>
    <w:uiPriority w:val="99"/>
    <w:unhideWhenUsed/>
    <w:rsid w:val="001135CC"/>
    <w:pPr>
      <w:spacing w:line="240" w:lineRule="auto"/>
    </w:pPr>
    <w:rPr>
      <w:sz w:val="20"/>
      <w:szCs w:val="20"/>
    </w:rPr>
  </w:style>
  <w:style w:type="character" w:customStyle="1" w:styleId="CommentTextChar">
    <w:name w:val="Comment Text Char"/>
    <w:basedOn w:val="DefaultParagraphFont"/>
    <w:link w:val="CommentText"/>
    <w:uiPriority w:val="99"/>
    <w:rsid w:val="001135CC"/>
    <w:rPr>
      <w:sz w:val="20"/>
      <w:szCs w:val="20"/>
    </w:rPr>
  </w:style>
  <w:style w:type="paragraph" w:styleId="CommentSubject">
    <w:name w:val="annotation subject"/>
    <w:basedOn w:val="CommentText"/>
    <w:next w:val="CommentText"/>
    <w:link w:val="CommentSubjectChar"/>
    <w:uiPriority w:val="99"/>
    <w:semiHidden/>
    <w:unhideWhenUsed/>
    <w:rsid w:val="001135CC"/>
    <w:rPr>
      <w:b/>
      <w:bCs/>
    </w:rPr>
  </w:style>
  <w:style w:type="character" w:customStyle="1" w:styleId="CommentSubjectChar">
    <w:name w:val="Comment Subject Char"/>
    <w:basedOn w:val="CommentTextChar"/>
    <w:link w:val="CommentSubject"/>
    <w:uiPriority w:val="99"/>
    <w:semiHidden/>
    <w:rsid w:val="001135CC"/>
    <w:rPr>
      <w:b/>
      <w:bCs/>
      <w:sz w:val="20"/>
      <w:szCs w:val="20"/>
    </w:rPr>
  </w:style>
  <w:style w:type="paragraph" w:customStyle="1" w:styleId="Default">
    <w:name w:val="Default"/>
    <w:basedOn w:val="Normal"/>
    <w:rsid w:val="00F43693"/>
    <w:pPr>
      <w:autoSpaceDE w:val="0"/>
      <w:autoSpaceDN w:val="0"/>
      <w:spacing w:after="0" w:line="240" w:lineRule="auto"/>
    </w:pPr>
    <w:rPr>
      <w:rFonts w:ascii="Calibri" w:eastAsiaTheme="minorHAnsi" w:hAnsi="Calibri" w:cs="Times New Roman"/>
      <w:color w:val="000000"/>
      <w:sz w:val="24"/>
      <w:szCs w:val="24"/>
    </w:rPr>
  </w:style>
  <w:style w:type="character" w:customStyle="1" w:styleId="Heading1Char">
    <w:name w:val="Heading 1 Char"/>
    <w:basedOn w:val="DefaultParagraphFont"/>
    <w:link w:val="Heading1"/>
    <w:uiPriority w:val="99"/>
    <w:rsid w:val="001F504A"/>
    <w:rPr>
      <w:rFonts w:ascii="Tahoma" w:eastAsia="Times New Roman" w:hAnsi="Tahoma" w:cs="Times New Roman"/>
      <w:b/>
      <w:bCs/>
      <w:sz w:val="28"/>
      <w:szCs w:val="28"/>
      <w:lang w:val="en-GB"/>
    </w:rPr>
  </w:style>
  <w:style w:type="paragraph" w:styleId="Title">
    <w:name w:val="Title"/>
    <w:basedOn w:val="Normal"/>
    <w:next w:val="Normal"/>
    <w:link w:val="TitleChar"/>
    <w:uiPriority w:val="99"/>
    <w:qFormat/>
    <w:rsid w:val="001F504A"/>
    <w:pPr>
      <w:pBdr>
        <w:bottom w:val="single" w:sz="8" w:space="4" w:color="FFC000"/>
      </w:pBdr>
      <w:spacing w:after="300" w:line="240" w:lineRule="auto"/>
      <w:contextualSpacing/>
      <w:jc w:val="both"/>
    </w:pPr>
    <w:rPr>
      <w:rFonts w:ascii="Tahoma" w:eastAsia="Times New Roman" w:hAnsi="Tahoma" w:cs="Times New Roman"/>
      <w:spacing w:val="5"/>
      <w:kern w:val="28"/>
      <w:sz w:val="52"/>
      <w:szCs w:val="52"/>
      <w:lang w:val="en-GB"/>
    </w:rPr>
  </w:style>
  <w:style w:type="character" w:customStyle="1" w:styleId="TitleChar">
    <w:name w:val="Title Char"/>
    <w:basedOn w:val="DefaultParagraphFont"/>
    <w:link w:val="Title"/>
    <w:uiPriority w:val="99"/>
    <w:rsid w:val="001F504A"/>
    <w:rPr>
      <w:rFonts w:ascii="Tahoma" w:eastAsia="Times New Roman" w:hAnsi="Tahoma" w:cs="Times New Roman"/>
      <w:spacing w:val="5"/>
      <w:kern w:val="28"/>
      <w:sz w:val="52"/>
      <w:szCs w:val="52"/>
      <w:lang w:val="en-GB"/>
    </w:rPr>
  </w:style>
  <w:style w:type="paragraph" w:styleId="Subtitle">
    <w:name w:val="Subtitle"/>
    <w:basedOn w:val="Normal"/>
    <w:next w:val="Normal"/>
    <w:link w:val="SubtitleChar"/>
    <w:uiPriority w:val="99"/>
    <w:qFormat/>
    <w:rsid w:val="001F504A"/>
    <w:pPr>
      <w:numPr>
        <w:ilvl w:val="1"/>
      </w:numPr>
      <w:jc w:val="both"/>
    </w:pPr>
    <w:rPr>
      <w:rFonts w:ascii="Tahoma" w:eastAsia="Times New Roman" w:hAnsi="Tahoma" w:cs="Times New Roman"/>
      <w:i/>
      <w:iCs/>
      <w:color w:val="808080"/>
      <w:spacing w:val="15"/>
      <w:sz w:val="24"/>
      <w:szCs w:val="24"/>
      <w:lang w:val="en-GB"/>
    </w:rPr>
  </w:style>
  <w:style w:type="character" w:customStyle="1" w:styleId="SubtitleChar">
    <w:name w:val="Subtitle Char"/>
    <w:basedOn w:val="DefaultParagraphFont"/>
    <w:link w:val="Subtitle"/>
    <w:uiPriority w:val="99"/>
    <w:rsid w:val="001F504A"/>
    <w:rPr>
      <w:rFonts w:ascii="Tahoma" w:eastAsia="Times New Roman" w:hAnsi="Tahoma" w:cs="Times New Roman"/>
      <w:i/>
      <w:iCs/>
      <w:color w:val="808080"/>
      <w:spacing w:val="15"/>
      <w:sz w:val="24"/>
      <w:szCs w:val="24"/>
      <w:lang w:val="en-GB"/>
    </w:rPr>
  </w:style>
  <w:style w:type="paragraph" w:customStyle="1" w:styleId="BodyA">
    <w:name w:val="Body A"/>
    <w:rsid w:val="00146E6F"/>
    <w:pPr>
      <w:pBdr>
        <w:top w:val="nil"/>
        <w:left w:val="nil"/>
        <w:bottom w:val="nil"/>
        <w:right w:val="nil"/>
        <w:between w:val="nil"/>
        <w:bar w:val="nil"/>
      </w:pBdr>
    </w:pPr>
    <w:rPr>
      <w:rFonts w:ascii="Calibri" w:eastAsia="Arial Unicode MS" w:hAnsi="Arial Unicode MS" w:cs="Arial Unicode MS"/>
      <w:color w:val="000000"/>
      <w:u w:color="000000"/>
      <w:bdr w:val="nil"/>
      <w:lang w:val="es-ES_tradnl" w:eastAsia="de-DE"/>
    </w:rPr>
  </w:style>
  <w:style w:type="character" w:customStyle="1" w:styleId="Hyperlink1">
    <w:name w:val="Hyperlink.1"/>
    <w:basedOn w:val="DefaultParagraphFont"/>
    <w:rsid w:val="009C208D"/>
    <w:rPr>
      <w:sz w:val="22"/>
      <w:szCs w:val="22"/>
      <w:lang w:val="en-US"/>
    </w:rPr>
  </w:style>
  <w:style w:type="character" w:styleId="FollowedHyperlink">
    <w:name w:val="FollowedHyperlink"/>
    <w:basedOn w:val="DefaultParagraphFont"/>
    <w:uiPriority w:val="99"/>
    <w:semiHidden/>
    <w:unhideWhenUsed/>
    <w:rsid w:val="00553A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F504A"/>
    <w:pPr>
      <w:keepNext/>
      <w:keepLines/>
      <w:spacing w:before="480" w:after="0"/>
      <w:jc w:val="both"/>
      <w:outlineLvl w:val="0"/>
    </w:pPr>
    <w:rPr>
      <w:rFonts w:ascii="Tahoma" w:eastAsia="Times New Roman" w:hAnsi="Tahoma" w:cs="Times New Roman"/>
      <w:b/>
      <w:bCs/>
      <w:sz w:val="28"/>
      <w:szCs w:val="28"/>
      <w:lang w:val="en-GB"/>
    </w:rPr>
  </w:style>
  <w:style w:type="paragraph" w:styleId="Heading3">
    <w:name w:val="heading 3"/>
    <w:basedOn w:val="Normal"/>
    <w:next w:val="Normal"/>
    <w:link w:val="Heading3Char"/>
    <w:rsid w:val="00550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81"/>
    <w:rPr>
      <w:rFonts w:ascii="Tahoma" w:hAnsi="Tahoma" w:cs="Tahoma"/>
      <w:sz w:val="16"/>
      <w:szCs w:val="16"/>
      <w:lang w:val="en-GB"/>
    </w:rPr>
  </w:style>
  <w:style w:type="table" w:styleId="TableGrid">
    <w:name w:val="Table Grid"/>
    <w:basedOn w:val="TableNormal"/>
    <w:uiPriority w:val="59"/>
    <w:rsid w:val="007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8F0"/>
    <w:rPr>
      <w:color w:val="0000FF" w:themeColor="hyperlink"/>
      <w:u w:val="single"/>
    </w:rPr>
  </w:style>
  <w:style w:type="paragraph" w:styleId="Header">
    <w:name w:val="header"/>
    <w:basedOn w:val="Normal"/>
    <w:link w:val="HeaderChar"/>
    <w:uiPriority w:val="99"/>
    <w:unhideWhenUsed/>
    <w:rsid w:val="004B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06"/>
    <w:rPr>
      <w:lang w:val="en-GB"/>
    </w:rPr>
  </w:style>
  <w:style w:type="paragraph" w:styleId="Footer">
    <w:name w:val="footer"/>
    <w:basedOn w:val="Normal"/>
    <w:link w:val="FooterChar"/>
    <w:uiPriority w:val="99"/>
    <w:unhideWhenUsed/>
    <w:rsid w:val="004B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06"/>
    <w:rPr>
      <w:lang w:val="en-GB"/>
    </w:rPr>
  </w:style>
  <w:style w:type="paragraph" w:styleId="ListParagraph">
    <w:name w:val="List Paragraph"/>
    <w:basedOn w:val="Normal"/>
    <w:uiPriority w:val="99"/>
    <w:qFormat/>
    <w:rsid w:val="00282C1A"/>
    <w:pPr>
      <w:ind w:left="720"/>
      <w:contextualSpacing/>
    </w:pPr>
  </w:style>
  <w:style w:type="character" w:customStyle="1" w:styleId="Heading3Char">
    <w:name w:val="Heading 3 Char"/>
    <w:basedOn w:val="DefaultParagraphFont"/>
    <w:link w:val="Heading3"/>
    <w:rsid w:val="00550178"/>
    <w:rPr>
      <w:rFonts w:asciiTheme="majorHAnsi" w:eastAsiaTheme="majorEastAsia" w:hAnsiTheme="majorHAnsi" w:cstheme="majorBidi"/>
      <w:b/>
      <w:bCs/>
      <w:color w:val="4F81BD" w:themeColor="accent1"/>
    </w:rPr>
  </w:style>
  <w:style w:type="character" w:customStyle="1" w:styleId="awc-39746364">
    <w:name w:val="awc-39746364"/>
    <w:basedOn w:val="DefaultParagraphFont"/>
    <w:rsid w:val="00550178"/>
  </w:style>
  <w:style w:type="character" w:styleId="CommentReference">
    <w:name w:val="annotation reference"/>
    <w:basedOn w:val="DefaultParagraphFont"/>
    <w:uiPriority w:val="99"/>
    <w:semiHidden/>
    <w:unhideWhenUsed/>
    <w:rsid w:val="001135CC"/>
    <w:rPr>
      <w:sz w:val="16"/>
      <w:szCs w:val="16"/>
    </w:rPr>
  </w:style>
  <w:style w:type="paragraph" w:styleId="CommentText">
    <w:name w:val="annotation text"/>
    <w:basedOn w:val="Normal"/>
    <w:link w:val="CommentTextChar"/>
    <w:uiPriority w:val="99"/>
    <w:unhideWhenUsed/>
    <w:rsid w:val="001135CC"/>
    <w:pPr>
      <w:spacing w:line="240" w:lineRule="auto"/>
    </w:pPr>
    <w:rPr>
      <w:sz w:val="20"/>
      <w:szCs w:val="20"/>
    </w:rPr>
  </w:style>
  <w:style w:type="character" w:customStyle="1" w:styleId="CommentTextChar">
    <w:name w:val="Comment Text Char"/>
    <w:basedOn w:val="DefaultParagraphFont"/>
    <w:link w:val="CommentText"/>
    <w:uiPriority w:val="99"/>
    <w:rsid w:val="001135CC"/>
    <w:rPr>
      <w:sz w:val="20"/>
      <w:szCs w:val="20"/>
    </w:rPr>
  </w:style>
  <w:style w:type="paragraph" w:styleId="CommentSubject">
    <w:name w:val="annotation subject"/>
    <w:basedOn w:val="CommentText"/>
    <w:next w:val="CommentText"/>
    <w:link w:val="CommentSubjectChar"/>
    <w:uiPriority w:val="99"/>
    <w:semiHidden/>
    <w:unhideWhenUsed/>
    <w:rsid w:val="001135CC"/>
    <w:rPr>
      <w:b/>
      <w:bCs/>
    </w:rPr>
  </w:style>
  <w:style w:type="character" w:customStyle="1" w:styleId="CommentSubjectChar">
    <w:name w:val="Comment Subject Char"/>
    <w:basedOn w:val="CommentTextChar"/>
    <w:link w:val="CommentSubject"/>
    <w:uiPriority w:val="99"/>
    <w:semiHidden/>
    <w:rsid w:val="001135CC"/>
    <w:rPr>
      <w:b/>
      <w:bCs/>
      <w:sz w:val="20"/>
      <w:szCs w:val="20"/>
    </w:rPr>
  </w:style>
  <w:style w:type="paragraph" w:customStyle="1" w:styleId="Default">
    <w:name w:val="Default"/>
    <w:basedOn w:val="Normal"/>
    <w:rsid w:val="00F43693"/>
    <w:pPr>
      <w:autoSpaceDE w:val="0"/>
      <w:autoSpaceDN w:val="0"/>
      <w:spacing w:after="0" w:line="240" w:lineRule="auto"/>
    </w:pPr>
    <w:rPr>
      <w:rFonts w:ascii="Calibri" w:eastAsiaTheme="minorHAnsi" w:hAnsi="Calibri" w:cs="Times New Roman"/>
      <w:color w:val="000000"/>
      <w:sz w:val="24"/>
      <w:szCs w:val="24"/>
    </w:rPr>
  </w:style>
  <w:style w:type="character" w:customStyle="1" w:styleId="Heading1Char">
    <w:name w:val="Heading 1 Char"/>
    <w:basedOn w:val="DefaultParagraphFont"/>
    <w:link w:val="Heading1"/>
    <w:uiPriority w:val="99"/>
    <w:rsid w:val="001F504A"/>
    <w:rPr>
      <w:rFonts w:ascii="Tahoma" w:eastAsia="Times New Roman" w:hAnsi="Tahoma" w:cs="Times New Roman"/>
      <w:b/>
      <w:bCs/>
      <w:sz w:val="28"/>
      <w:szCs w:val="28"/>
      <w:lang w:val="en-GB"/>
    </w:rPr>
  </w:style>
  <w:style w:type="paragraph" w:styleId="Title">
    <w:name w:val="Title"/>
    <w:basedOn w:val="Normal"/>
    <w:next w:val="Normal"/>
    <w:link w:val="TitleChar"/>
    <w:uiPriority w:val="99"/>
    <w:qFormat/>
    <w:rsid w:val="001F504A"/>
    <w:pPr>
      <w:pBdr>
        <w:bottom w:val="single" w:sz="8" w:space="4" w:color="FFC000"/>
      </w:pBdr>
      <w:spacing w:after="300" w:line="240" w:lineRule="auto"/>
      <w:contextualSpacing/>
      <w:jc w:val="both"/>
    </w:pPr>
    <w:rPr>
      <w:rFonts w:ascii="Tahoma" w:eastAsia="Times New Roman" w:hAnsi="Tahoma" w:cs="Times New Roman"/>
      <w:spacing w:val="5"/>
      <w:kern w:val="28"/>
      <w:sz w:val="52"/>
      <w:szCs w:val="52"/>
      <w:lang w:val="en-GB"/>
    </w:rPr>
  </w:style>
  <w:style w:type="character" w:customStyle="1" w:styleId="TitleChar">
    <w:name w:val="Title Char"/>
    <w:basedOn w:val="DefaultParagraphFont"/>
    <w:link w:val="Title"/>
    <w:uiPriority w:val="99"/>
    <w:rsid w:val="001F504A"/>
    <w:rPr>
      <w:rFonts w:ascii="Tahoma" w:eastAsia="Times New Roman" w:hAnsi="Tahoma" w:cs="Times New Roman"/>
      <w:spacing w:val="5"/>
      <w:kern w:val="28"/>
      <w:sz w:val="52"/>
      <w:szCs w:val="52"/>
      <w:lang w:val="en-GB"/>
    </w:rPr>
  </w:style>
  <w:style w:type="paragraph" w:styleId="Subtitle">
    <w:name w:val="Subtitle"/>
    <w:basedOn w:val="Normal"/>
    <w:next w:val="Normal"/>
    <w:link w:val="SubtitleChar"/>
    <w:uiPriority w:val="99"/>
    <w:qFormat/>
    <w:rsid w:val="001F504A"/>
    <w:pPr>
      <w:numPr>
        <w:ilvl w:val="1"/>
      </w:numPr>
      <w:jc w:val="both"/>
    </w:pPr>
    <w:rPr>
      <w:rFonts w:ascii="Tahoma" w:eastAsia="Times New Roman" w:hAnsi="Tahoma" w:cs="Times New Roman"/>
      <w:i/>
      <w:iCs/>
      <w:color w:val="808080"/>
      <w:spacing w:val="15"/>
      <w:sz w:val="24"/>
      <w:szCs w:val="24"/>
      <w:lang w:val="en-GB"/>
    </w:rPr>
  </w:style>
  <w:style w:type="character" w:customStyle="1" w:styleId="SubtitleChar">
    <w:name w:val="Subtitle Char"/>
    <w:basedOn w:val="DefaultParagraphFont"/>
    <w:link w:val="Subtitle"/>
    <w:uiPriority w:val="99"/>
    <w:rsid w:val="001F504A"/>
    <w:rPr>
      <w:rFonts w:ascii="Tahoma" w:eastAsia="Times New Roman" w:hAnsi="Tahoma" w:cs="Times New Roman"/>
      <w:i/>
      <w:iCs/>
      <w:color w:val="808080"/>
      <w:spacing w:val="15"/>
      <w:sz w:val="24"/>
      <w:szCs w:val="24"/>
      <w:lang w:val="en-GB"/>
    </w:rPr>
  </w:style>
  <w:style w:type="paragraph" w:customStyle="1" w:styleId="BodyA">
    <w:name w:val="Body A"/>
    <w:rsid w:val="00146E6F"/>
    <w:pPr>
      <w:pBdr>
        <w:top w:val="nil"/>
        <w:left w:val="nil"/>
        <w:bottom w:val="nil"/>
        <w:right w:val="nil"/>
        <w:between w:val="nil"/>
        <w:bar w:val="nil"/>
      </w:pBdr>
    </w:pPr>
    <w:rPr>
      <w:rFonts w:ascii="Calibri" w:eastAsia="Arial Unicode MS" w:hAnsi="Arial Unicode MS" w:cs="Arial Unicode MS"/>
      <w:color w:val="000000"/>
      <w:u w:color="000000"/>
      <w:bdr w:val="nil"/>
      <w:lang w:val="es-ES_tradnl" w:eastAsia="de-DE"/>
    </w:rPr>
  </w:style>
  <w:style w:type="character" w:customStyle="1" w:styleId="Hyperlink1">
    <w:name w:val="Hyperlink.1"/>
    <w:basedOn w:val="DefaultParagraphFont"/>
    <w:rsid w:val="009C208D"/>
    <w:rPr>
      <w:sz w:val="22"/>
      <w:szCs w:val="22"/>
      <w:lang w:val="en-US"/>
    </w:rPr>
  </w:style>
  <w:style w:type="character" w:styleId="FollowedHyperlink">
    <w:name w:val="FollowedHyperlink"/>
    <w:basedOn w:val="DefaultParagraphFont"/>
    <w:uiPriority w:val="99"/>
    <w:semiHidden/>
    <w:unhideWhenUsed/>
    <w:rsid w:val="00553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8215">
      <w:bodyDiv w:val="1"/>
      <w:marLeft w:val="0"/>
      <w:marRight w:val="0"/>
      <w:marTop w:val="0"/>
      <w:marBottom w:val="0"/>
      <w:divBdr>
        <w:top w:val="none" w:sz="0" w:space="0" w:color="auto"/>
        <w:left w:val="none" w:sz="0" w:space="0" w:color="auto"/>
        <w:bottom w:val="none" w:sz="0" w:space="0" w:color="auto"/>
        <w:right w:val="none" w:sz="0" w:space="0" w:color="auto"/>
      </w:divBdr>
    </w:div>
    <w:div w:id="233976726">
      <w:bodyDiv w:val="1"/>
      <w:marLeft w:val="0"/>
      <w:marRight w:val="0"/>
      <w:marTop w:val="0"/>
      <w:marBottom w:val="0"/>
      <w:divBdr>
        <w:top w:val="none" w:sz="0" w:space="0" w:color="auto"/>
        <w:left w:val="none" w:sz="0" w:space="0" w:color="auto"/>
        <w:bottom w:val="none" w:sz="0" w:space="0" w:color="auto"/>
        <w:right w:val="none" w:sz="0" w:space="0" w:color="auto"/>
      </w:divBdr>
    </w:div>
    <w:div w:id="501746362">
      <w:bodyDiv w:val="1"/>
      <w:marLeft w:val="0"/>
      <w:marRight w:val="0"/>
      <w:marTop w:val="0"/>
      <w:marBottom w:val="0"/>
      <w:divBdr>
        <w:top w:val="none" w:sz="0" w:space="0" w:color="auto"/>
        <w:left w:val="none" w:sz="0" w:space="0" w:color="auto"/>
        <w:bottom w:val="none" w:sz="0" w:space="0" w:color="auto"/>
        <w:right w:val="none" w:sz="0" w:space="0" w:color="auto"/>
      </w:divBdr>
    </w:div>
    <w:div w:id="639923366">
      <w:bodyDiv w:val="1"/>
      <w:marLeft w:val="0"/>
      <w:marRight w:val="0"/>
      <w:marTop w:val="0"/>
      <w:marBottom w:val="0"/>
      <w:divBdr>
        <w:top w:val="none" w:sz="0" w:space="0" w:color="auto"/>
        <w:left w:val="none" w:sz="0" w:space="0" w:color="auto"/>
        <w:bottom w:val="none" w:sz="0" w:space="0" w:color="auto"/>
        <w:right w:val="none" w:sz="0" w:space="0" w:color="auto"/>
      </w:divBdr>
    </w:div>
    <w:div w:id="989597984">
      <w:bodyDiv w:val="1"/>
      <w:marLeft w:val="0"/>
      <w:marRight w:val="0"/>
      <w:marTop w:val="0"/>
      <w:marBottom w:val="0"/>
      <w:divBdr>
        <w:top w:val="none" w:sz="0" w:space="0" w:color="auto"/>
        <w:left w:val="none" w:sz="0" w:space="0" w:color="auto"/>
        <w:bottom w:val="none" w:sz="0" w:space="0" w:color="auto"/>
        <w:right w:val="none" w:sz="0" w:space="0" w:color="auto"/>
      </w:divBdr>
      <w:divsChild>
        <w:div w:id="203183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williamson@ren21.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ristine.lins@ren21.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endee.gotowebinar.com/register/597806818430956057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en21.rotcloud.com/index.php/s/WR8IljwryS1eWyq"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en21.net/gs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n21.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n21.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n2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DB7C-17BC-44B2-AE2D-F55D1B5F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Parvulescu</dc:creator>
  <cp:lastModifiedBy>Laura E. Williamson</cp:lastModifiedBy>
  <cp:revision>2</cp:revision>
  <cp:lastPrinted>2013-08-12T14:57:00Z</cp:lastPrinted>
  <dcterms:created xsi:type="dcterms:W3CDTF">2017-06-06T12:31:00Z</dcterms:created>
  <dcterms:modified xsi:type="dcterms:W3CDTF">2017-06-06T12:31:00Z</dcterms:modified>
</cp:coreProperties>
</file>