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4A" w:rsidRPr="00146E6F" w:rsidRDefault="001F504A" w:rsidP="001F504A">
      <w:pPr>
        <w:pStyle w:val="Title"/>
        <w:jc w:val="left"/>
        <w:rPr>
          <w:rFonts w:cs="Tahoma"/>
          <w:sz w:val="8"/>
          <w:szCs w:val="8"/>
        </w:rPr>
      </w:pPr>
    </w:p>
    <w:p w:rsidR="00146E6F" w:rsidRPr="00D70CEF" w:rsidRDefault="00146E6F" w:rsidP="00146E6F">
      <w:pPr>
        <w:rPr>
          <w:rFonts w:cs="Tahoma"/>
          <w:b/>
          <w:color w:val="FF0000"/>
          <w:sz w:val="28"/>
          <w:szCs w:val="28"/>
          <w:lang w:val="de-DE"/>
        </w:rPr>
      </w:pPr>
      <w:r w:rsidRPr="00D70CEF">
        <w:rPr>
          <w:rFonts w:cs="Tahoma"/>
          <w:b/>
          <w:color w:val="FF0000"/>
          <w:sz w:val="28"/>
          <w:szCs w:val="28"/>
          <w:lang w:val="de-DE"/>
        </w:rPr>
        <w:t xml:space="preserve">Embargo: 00:30am CEST 7 </w:t>
      </w:r>
      <w:r w:rsidR="00902C99">
        <w:rPr>
          <w:rFonts w:cs="Tahoma"/>
          <w:b/>
          <w:color w:val="FF0000"/>
          <w:sz w:val="28"/>
          <w:szCs w:val="28"/>
          <w:lang w:val="de-DE"/>
        </w:rPr>
        <w:t>Juni</w:t>
      </w:r>
      <w:r w:rsidRPr="00D70CEF">
        <w:rPr>
          <w:rFonts w:cs="Tahoma"/>
          <w:b/>
          <w:color w:val="FF0000"/>
          <w:sz w:val="28"/>
          <w:szCs w:val="28"/>
          <w:lang w:val="de-DE"/>
        </w:rPr>
        <w:t xml:space="preserve"> </w:t>
      </w:r>
    </w:p>
    <w:p w:rsidR="00585CA6" w:rsidRPr="00D70CEF" w:rsidRDefault="00D70CEF" w:rsidP="00146E6F">
      <w:pPr>
        <w:jc w:val="center"/>
        <w:rPr>
          <w:b/>
          <w:sz w:val="36"/>
          <w:szCs w:val="36"/>
          <w:lang w:val="de-DE"/>
        </w:rPr>
      </w:pPr>
      <w:r w:rsidRPr="00D70CEF">
        <w:rPr>
          <w:b/>
          <w:sz w:val="36"/>
          <w:szCs w:val="36"/>
          <w:lang w:val="de-DE"/>
        </w:rPr>
        <w:t>Ein weiteres Rekordjahr f</w:t>
      </w:r>
      <w:r>
        <w:rPr>
          <w:b/>
          <w:sz w:val="36"/>
          <w:szCs w:val="36"/>
          <w:lang w:val="de-DE"/>
        </w:rPr>
        <w:t>ür erneuerbare Energien: Mehr erneuerbare Energiekapazität für weniger Geld</w:t>
      </w:r>
    </w:p>
    <w:p w:rsidR="00146E6F" w:rsidRPr="00D70CEF" w:rsidRDefault="00D70CEF" w:rsidP="00146E6F">
      <w:pPr>
        <w:jc w:val="center"/>
        <w:rPr>
          <w:b/>
          <w:strike/>
          <w:sz w:val="26"/>
          <w:szCs w:val="26"/>
          <w:lang w:val="de-DE"/>
        </w:rPr>
      </w:pPr>
      <w:r w:rsidRPr="00D70CEF">
        <w:rPr>
          <w:sz w:val="26"/>
          <w:szCs w:val="26"/>
          <w:lang w:val="de-DE"/>
        </w:rPr>
        <w:t>Rek</w:t>
      </w:r>
      <w:r w:rsidR="00146E6F" w:rsidRPr="00D70CEF">
        <w:rPr>
          <w:sz w:val="26"/>
          <w:szCs w:val="26"/>
          <w:lang w:val="de-DE"/>
        </w:rPr>
        <w:t xml:space="preserve">ord </w:t>
      </w:r>
      <w:r w:rsidRPr="00D70CEF">
        <w:rPr>
          <w:sz w:val="26"/>
          <w:szCs w:val="26"/>
          <w:lang w:val="de-DE"/>
        </w:rPr>
        <w:t>an zusätzlicher Stromkapazität von 161 GW für 23% weniger Investitionen (USD 241,6 Milliarden)</w:t>
      </w:r>
    </w:p>
    <w:p w:rsidR="00146E6F" w:rsidRPr="00D70CEF" w:rsidRDefault="00D70CEF" w:rsidP="00146E6F">
      <w:pPr>
        <w:rPr>
          <w:lang w:val="de-DE"/>
        </w:rPr>
      </w:pPr>
      <w:r w:rsidRPr="00D70CEF">
        <w:rPr>
          <w:lang w:val="de-DE"/>
        </w:rPr>
        <w:t>REN21 hat heute seinen Renewa</w:t>
      </w:r>
      <w:r w:rsidR="00902C99">
        <w:rPr>
          <w:lang w:val="de-DE"/>
        </w:rPr>
        <w:t>b</w:t>
      </w:r>
      <w:r w:rsidRPr="00D70CEF">
        <w:rPr>
          <w:lang w:val="de-DE"/>
        </w:rPr>
        <w:t xml:space="preserve">les 2017 Global Status Report, den </w:t>
      </w:r>
      <w:r w:rsidR="00902C99" w:rsidRPr="00D70CEF">
        <w:rPr>
          <w:lang w:val="de-DE"/>
        </w:rPr>
        <w:t>umfassendsten</w:t>
      </w:r>
      <w:r w:rsidRPr="00D70CEF">
        <w:rPr>
          <w:lang w:val="de-DE"/>
        </w:rPr>
        <w:t xml:space="preserve"> jährlichen Bericht zum Status der erneuerbaren Energien, veröffentlicht</w:t>
      </w:r>
      <w:r>
        <w:rPr>
          <w:lang w:val="de-DE"/>
        </w:rPr>
        <w:t>.</w:t>
      </w:r>
    </w:p>
    <w:p w:rsidR="00D70CEF" w:rsidRDefault="00D70CEF" w:rsidP="00146E6F">
      <w:pPr>
        <w:rPr>
          <w:lang w:val="de-DE"/>
        </w:rPr>
      </w:pPr>
      <w:r w:rsidRPr="00D70CEF">
        <w:rPr>
          <w:b/>
          <w:lang w:val="de-DE"/>
        </w:rPr>
        <w:t xml:space="preserve">In 2016 wurden mit 161 GW zusätzlicher installierter </w:t>
      </w:r>
      <w:r w:rsidR="00902C99" w:rsidRPr="00D70CEF">
        <w:rPr>
          <w:b/>
          <w:lang w:val="de-DE"/>
        </w:rPr>
        <w:t>erneuerbarer</w:t>
      </w:r>
      <w:r w:rsidRPr="00D70CEF">
        <w:rPr>
          <w:b/>
          <w:lang w:val="de-DE"/>
        </w:rPr>
        <w:t xml:space="preserve"> Stromkapazität ein neuer Rekord gesetzt. </w:t>
      </w:r>
      <w:r w:rsidRPr="00D70CEF">
        <w:rPr>
          <w:lang w:val="de-DE"/>
        </w:rPr>
        <w:t xml:space="preserve">Somit stieg die weltweit installierte Stromkapazität gegenüber 2015 um 9% und beträgt nun knapp </w:t>
      </w:r>
      <w:r>
        <w:rPr>
          <w:lang w:val="de-DE"/>
        </w:rPr>
        <w:t>2,017 Gigawatt (GW). Rund 47% der Neukapazität entfiel auf Photovoltaik, gefolgt von Windkraft (34%) und Wasserkraft (15,5%).</w:t>
      </w:r>
    </w:p>
    <w:p w:rsidR="00D70CEF" w:rsidRPr="00155AC0" w:rsidRDefault="00155AC0" w:rsidP="00146E6F">
      <w:pPr>
        <w:rPr>
          <w:lang w:val="de-DE"/>
        </w:rPr>
      </w:pPr>
      <w:r w:rsidRPr="00155AC0">
        <w:rPr>
          <w:lang w:val="de-DE"/>
        </w:rPr>
        <w:t xml:space="preserve">Erneuerbare </w:t>
      </w:r>
      <w:r w:rsidR="00E24D21">
        <w:rPr>
          <w:lang w:val="de-DE"/>
        </w:rPr>
        <w:t xml:space="preserve">Energieträger </w:t>
      </w:r>
      <w:r w:rsidRPr="00155AC0">
        <w:rPr>
          <w:lang w:val="de-DE"/>
        </w:rPr>
        <w:t xml:space="preserve">stellen zunehmend die kostengünstigste Alternative </w:t>
      </w:r>
      <w:r w:rsidR="00E24D21">
        <w:rPr>
          <w:lang w:val="de-DE"/>
        </w:rPr>
        <w:t xml:space="preserve">zur Stromerzeugung </w:t>
      </w:r>
      <w:r w:rsidRPr="00155AC0">
        <w:rPr>
          <w:lang w:val="de-DE"/>
        </w:rPr>
        <w:t xml:space="preserve">dar. </w:t>
      </w:r>
      <w:r w:rsidR="00AF6E8C">
        <w:rPr>
          <w:lang w:val="de-DE"/>
        </w:rPr>
        <w:t xml:space="preserve">In Dänemark, Ägypten, Indien, Mexiko, Peru und den Vereinten Arabischen Emiraten wurden kürzlich Verträge für erneuerbaren Strom zum Preis von USD 0,05 pro Kilowattstunde oder weniger abgeschlossen. Dieser Preis liegt weiter unter den äquivalenten Kosten für fossile oder nukleare Erzeugungskapazitäten in den jeweiligen Ländern. </w:t>
      </w:r>
      <w:r w:rsidR="0008350A">
        <w:rPr>
          <w:lang w:val="de-DE"/>
        </w:rPr>
        <w:t xml:space="preserve">Bei </w:t>
      </w:r>
      <w:r w:rsidR="00AF6E8C">
        <w:rPr>
          <w:lang w:val="de-DE"/>
        </w:rPr>
        <w:t xml:space="preserve">zwei kürzlich durchgeführten Ausschreibungen für Offshore-Wind in Deutschland </w:t>
      </w:r>
      <w:r w:rsidR="0008350A">
        <w:rPr>
          <w:lang w:val="de-DE"/>
        </w:rPr>
        <w:t>gewannen Unternehmen mit Angeboten basierend auf Stromgroßmarktprei</w:t>
      </w:r>
      <w:r w:rsidR="004A239C">
        <w:rPr>
          <w:lang w:val="de-DE"/>
        </w:rPr>
        <w:t>s</w:t>
      </w:r>
      <w:r w:rsidR="0008350A">
        <w:rPr>
          <w:lang w:val="de-DE"/>
        </w:rPr>
        <w:t>en und ohne Regierungssubvention. Dies zeigt, das</w:t>
      </w:r>
      <w:r w:rsidR="00F84489">
        <w:rPr>
          <w:lang w:val="de-DE"/>
        </w:rPr>
        <w:t>s</w:t>
      </w:r>
      <w:r w:rsidR="0008350A">
        <w:rPr>
          <w:lang w:val="de-DE"/>
        </w:rPr>
        <w:t xml:space="preserve"> erneuerbare Energien die kostengünstigste Option sein können.</w:t>
      </w:r>
    </w:p>
    <w:p w:rsidR="0008350A" w:rsidRPr="0008350A" w:rsidRDefault="00E24D21" w:rsidP="00146E6F">
      <w:pPr>
        <w:rPr>
          <w:lang w:val="de-DE"/>
        </w:rPr>
      </w:pPr>
      <w:r>
        <w:rPr>
          <w:lang w:val="de-DE"/>
        </w:rPr>
        <w:t>Der GSR2017 zeigt weiters auf, dass die</w:t>
      </w:r>
      <w:r w:rsidR="0008350A">
        <w:rPr>
          <w:lang w:val="de-DE"/>
        </w:rPr>
        <w:t xml:space="preserve"> Integration hoher Anteile variabler erneuerbarer Energien auch ohne fossile oder nukleare Grundlast gelingen</w:t>
      </w:r>
      <w:r>
        <w:rPr>
          <w:lang w:val="de-DE"/>
        </w:rPr>
        <w:t xml:space="preserve"> kann</w:t>
      </w:r>
      <w:r w:rsidR="0008350A">
        <w:rPr>
          <w:lang w:val="de-DE"/>
        </w:rPr>
        <w:t>. Voraussetzung ist ein ausreichend flexibles Stromsystem. Netzve</w:t>
      </w:r>
      <w:r w:rsidR="002305A9">
        <w:rPr>
          <w:lang w:val="de-DE"/>
        </w:rPr>
        <w:t>rbindungen, Sektorkopplung und Schlüsselt</w:t>
      </w:r>
      <w:r w:rsidR="0008350A">
        <w:rPr>
          <w:lang w:val="de-DE"/>
        </w:rPr>
        <w:t xml:space="preserve">echnologien, wie bspw. </w:t>
      </w:r>
      <w:r w:rsidR="00562E44">
        <w:rPr>
          <w:lang w:val="de-DE"/>
        </w:rPr>
        <w:t xml:space="preserve">Speichern, </w:t>
      </w:r>
      <w:r>
        <w:rPr>
          <w:lang w:val="de-DE"/>
        </w:rPr>
        <w:t>Elektrof</w:t>
      </w:r>
      <w:r w:rsidR="00562E44">
        <w:rPr>
          <w:lang w:val="de-DE"/>
        </w:rPr>
        <w:t>ahrzeuge, Wärmepumpen sowie Informations- und Kommunikations</w:t>
      </w:r>
      <w:r w:rsidR="004A239C">
        <w:rPr>
          <w:lang w:val="de-DE"/>
        </w:rPr>
        <w:t>technologien</w:t>
      </w:r>
      <w:r w:rsidR="00562E44">
        <w:rPr>
          <w:lang w:val="de-DE"/>
        </w:rPr>
        <w:t>, ermöglichen diese Flexibilität. Flexibilität ermöglicht jedoch nicht nur den Ausgleich fluktuierende</w:t>
      </w:r>
      <w:r>
        <w:rPr>
          <w:lang w:val="de-DE"/>
        </w:rPr>
        <w:t>r</w:t>
      </w:r>
      <w:r w:rsidR="00562E44">
        <w:rPr>
          <w:lang w:val="de-DE"/>
        </w:rPr>
        <w:t xml:space="preserve"> Stromerzeugung, sondern auch die Optimierung des Systems und eine Reduzierung der Gesamtkosten. Es ist kaum überraschend, dass eine zunehmende Anzahl an Ländern zu Spitzenzeiten Netze mit nahezu oder mehr als 100% erneuerbarem Strom erfolgreich manag</w:t>
      </w:r>
      <w:r>
        <w:rPr>
          <w:lang w:val="de-DE"/>
        </w:rPr>
        <w:t>t</w:t>
      </w:r>
      <w:r w:rsidR="00562E44">
        <w:rPr>
          <w:lang w:val="de-DE"/>
        </w:rPr>
        <w:t>. In 2016 glichen Dänemark und Deutschland zum Beispiel erfolgreich Erzeugungsspitzen für erneuerbaren Strom von respektive</w:t>
      </w:r>
      <w:r w:rsidR="00132363">
        <w:rPr>
          <w:lang w:val="de-DE"/>
        </w:rPr>
        <w:t>n</w:t>
      </w:r>
      <w:r w:rsidR="00562E44">
        <w:rPr>
          <w:lang w:val="de-DE"/>
        </w:rPr>
        <w:t xml:space="preserve"> 140% und 86,3% aus.</w:t>
      </w:r>
    </w:p>
    <w:p w:rsidR="00562E44" w:rsidRPr="00E33F0B" w:rsidRDefault="00584141" w:rsidP="00146E6F">
      <w:pPr>
        <w:pStyle w:val="CommentText"/>
        <w:spacing w:line="276" w:lineRule="auto"/>
        <w:rPr>
          <w:sz w:val="22"/>
          <w:szCs w:val="22"/>
          <w:lang w:val="de-DE"/>
        </w:rPr>
      </w:pPr>
      <w:r>
        <w:rPr>
          <w:b/>
          <w:sz w:val="22"/>
          <w:szCs w:val="22"/>
          <w:lang w:val="de-DE"/>
        </w:rPr>
        <w:t>Das</w:t>
      </w:r>
      <w:r w:rsidR="00E33F0B">
        <w:rPr>
          <w:b/>
          <w:sz w:val="22"/>
          <w:szCs w:val="22"/>
          <w:lang w:val="de-DE"/>
        </w:rPr>
        <w:t xml:space="preserve"> dritte Jahr infolge blieben g</w:t>
      </w:r>
      <w:r w:rsidR="00E33F0B" w:rsidRPr="00E33F0B">
        <w:rPr>
          <w:b/>
          <w:sz w:val="22"/>
          <w:szCs w:val="22"/>
          <w:lang w:val="de-DE"/>
        </w:rPr>
        <w:t>lobale</w:t>
      </w:r>
      <w:r w:rsidR="00E33F0B">
        <w:rPr>
          <w:b/>
          <w:sz w:val="22"/>
          <w:szCs w:val="22"/>
          <w:lang w:val="de-DE"/>
        </w:rPr>
        <w:t xml:space="preserve"> energiebedingte CO2 Emissionen, verursacht durch fossile Brennstoffe und die </w:t>
      </w:r>
      <w:r w:rsidR="00E33F0B" w:rsidRPr="00E33F0B">
        <w:rPr>
          <w:b/>
          <w:sz w:val="22"/>
          <w:szCs w:val="22"/>
          <w:lang w:val="de-DE"/>
        </w:rPr>
        <w:t>Industrie</w:t>
      </w:r>
      <w:r w:rsidR="00E33F0B">
        <w:rPr>
          <w:b/>
          <w:sz w:val="22"/>
          <w:szCs w:val="22"/>
          <w:lang w:val="de-DE"/>
        </w:rPr>
        <w:t xml:space="preserve">, stabil, trotz eines globalen Wirtschaftswachstums von 3% </w:t>
      </w:r>
      <w:r w:rsidR="00E33F0B" w:rsidRPr="00E33F0B">
        <w:rPr>
          <w:sz w:val="22"/>
          <w:szCs w:val="22"/>
          <w:lang w:val="de-DE"/>
        </w:rPr>
        <w:t>und zunehmender Energienachfrage.</w:t>
      </w:r>
      <w:r w:rsidR="00E33F0B">
        <w:rPr>
          <w:sz w:val="22"/>
          <w:szCs w:val="22"/>
          <w:lang w:val="de-DE"/>
        </w:rPr>
        <w:t xml:space="preserve"> Dies kann primär auf den Rückgang des Anteils an Kohle im Energiemix sowie auf den zunehmenden Ausbau erneuerbarer Energien und die Verbesserung der Energieeffizienz zurückgeführt werden.</w:t>
      </w:r>
    </w:p>
    <w:p w:rsidR="00E33F0B" w:rsidRPr="00E33F0B" w:rsidRDefault="00E33F0B" w:rsidP="00146E6F">
      <w:pPr>
        <w:rPr>
          <w:lang w:val="de-DE"/>
        </w:rPr>
      </w:pPr>
      <w:r w:rsidRPr="00E33F0B">
        <w:rPr>
          <w:lang w:val="de-DE"/>
        </w:rPr>
        <w:lastRenderedPageBreak/>
        <w:t>Weitere positive Trends:</w:t>
      </w:r>
    </w:p>
    <w:p w:rsidR="00146E6F" w:rsidRDefault="00E33F0B" w:rsidP="00146E6F">
      <w:pPr>
        <w:rPr>
          <w:lang w:val="de-DE"/>
        </w:rPr>
      </w:pPr>
      <w:r w:rsidRPr="00E33F0B">
        <w:rPr>
          <w:b/>
          <w:lang w:val="de-DE"/>
        </w:rPr>
        <w:t>Innovationen und Durchbrüche im Bereich der Speichertechnologien ermöglichen zunehmend eine größere Flexibilisierung des Stromsystems.</w:t>
      </w:r>
      <w:r>
        <w:rPr>
          <w:lang w:val="de-DE"/>
        </w:rPr>
        <w:t xml:space="preserve"> In 2016 wurden rund 0,8 GW an neuen</w:t>
      </w:r>
      <w:r w:rsidR="00E24D21">
        <w:rPr>
          <w:lang w:val="de-DE"/>
        </w:rPr>
        <w:t xml:space="preserve"> </w:t>
      </w:r>
      <w:r>
        <w:rPr>
          <w:lang w:val="de-DE"/>
        </w:rPr>
        <w:t xml:space="preserve">Speicherkapazitäten in Betrieb genommen. Somit </w:t>
      </w:r>
      <w:r w:rsidR="00CB7790">
        <w:rPr>
          <w:lang w:val="de-DE"/>
        </w:rPr>
        <w:t>betrug</w:t>
      </w:r>
      <w:r>
        <w:rPr>
          <w:lang w:val="de-DE"/>
        </w:rPr>
        <w:t xml:space="preserve"> die Gesamtkapazität am Ende des Jahres rund 6,4 GW.</w:t>
      </w:r>
    </w:p>
    <w:p w:rsidR="00E33F0B" w:rsidRPr="000A1E8C" w:rsidRDefault="00E33F0B" w:rsidP="00146E6F">
      <w:pPr>
        <w:rPr>
          <w:lang w:val="de-DE"/>
        </w:rPr>
      </w:pPr>
      <w:r>
        <w:rPr>
          <w:b/>
          <w:lang w:val="de-DE"/>
        </w:rPr>
        <w:t>Der Markt für Mini-Grids und netzferne Systeme</w:t>
      </w:r>
      <w:r w:rsidR="00F47E91">
        <w:rPr>
          <w:b/>
          <w:lang w:val="de-DE"/>
        </w:rPr>
        <w:t xml:space="preserve"> entwickelt sich schnell weiter und Pay-As-You-Go (PAYG) Geschäftsmodelle, mit Mobiltelefonkomponenten, explodieren.</w:t>
      </w:r>
      <w:r w:rsidR="00F47E91">
        <w:rPr>
          <w:lang w:val="de-DE"/>
        </w:rPr>
        <w:t xml:space="preserve"> In 2012 betrugen Investitionen in PAYG Solarfirmen nur USD 3 Millionen. Zwischen 2012 und 2016 stiegen Investitionen auf USD 223 Million (Anstieg ggü. </w:t>
      </w:r>
      <w:r w:rsidR="00F47E91" w:rsidRPr="000A1E8C">
        <w:rPr>
          <w:lang w:val="de-DE"/>
        </w:rPr>
        <w:t xml:space="preserve">Investitionen </w:t>
      </w:r>
      <w:r w:rsidR="005B0BF4" w:rsidRPr="000A1E8C">
        <w:rPr>
          <w:lang w:val="de-DE"/>
        </w:rPr>
        <w:t>i.H.v.</w:t>
      </w:r>
      <w:r w:rsidR="00F47E91" w:rsidRPr="000A1E8C">
        <w:rPr>
          <w:lang w:val="de-DE"/>
        </w:rPr>
        <w:t xml:space="preserve"> </w:t>
      </w:r>
      <w:r w:rsidR="005B0BF4" w:rsidRPr="000A1E8C">
        <w:rPr>
          <w:lang w:val="de-DE"/>
        </w:rPr>
        <w:t>USD 158</w:t>
      </w:r>
      <w:r w:rsidR="005B0BF4" w:rsidRPr="00902C99">
        <w:rPr>
          <w:lang w:val="de-DE"/>
        </w:rPr>
        <w:t xml:space="preserve"> Millionen</w:t>
      </w:r>
      <w:r w:rsidR="005B0BF4" w:rsidRPr="000A1E8C">
        <w:rPr>
          <w:lang w:val="de-DE"/>
        </w:rPr>
        <w:t xml:space="preserve"> </w:t>
      </w:r>
      <w:r w:rsidR="00F47E91" w:rsidRPr="000A1E8C">
        <w:rPr>
          <w:lang w:val="de-DE"/>
        </w:rPr>
        <w:t>in 2015</w:t>
      </w:r>
      <w:r w:rsidR="005B0BF4" w:rsidRPr="000A1E8C">
        <w:rPr>
          <w:lang w:val="de-DE"/>
        </w:rPr>
        <w:t>)</w:t>
      </w:r>
    </w:p>
    <w:p w:rsidR="005B0BF4" w:rsidRPr="005B0BF4" w:rsidRDefault="005B0BF4" w:rsidP="00146E6F">
      <w:pPr>
        <w:rPr>
          <w:lang w:val="de-DE"/>
        </w:rPr>
      </w:pPr>
      <w:r w:rsidRPr="005B0BF4">
        <w:rPr>
          <w:b/>
          <w:lang w:val="de-DE"/>
        </w:rPr>
        <w:t>Arthouros Zervos</w:t>
      </w:r>
      <w:r w:rsidRPr="005B0BF4">
        <w:rPr>
          <w:lang w:val="de-DE"/>
        </w:rPr>
        <w:t xml:space="preserve">, </w:t>
      </w:r>
      <w:r w:rsidRPr="005B0BF4">
        <w:rPr>
          <w:b/>
          <w:lang w:val="de-DE"/>
        </w:rPr>
        <w:t>Vorsitzender von REN21</w:t>
      </w:r>
      <w:r w:rsidRPr="005B0BF4">
        <w:rPr>
          <w:lang w:val="de-DE"/>
        </w:rPr>
        <w:t>, sagte “</w:t>
      </w:r>
      <w:r>
        <w:rPr>
          <w:lang w:val="de-DE"/>
        </w:rPr>
        <w:t>Weltweit werden</w:t>
      </w:r>
      <w:r w:rsidRPr="005B0BF4">
        <w:rPr>
          <w:lang w:val="de-DE"/>
        </w:rPr>
        <w:t xml:space="preserve"> jedes Jahr mehr </w:t>
      </w:r>
      <w:r>
        <w:rPr>
          <w:lang w:val="de-DE"/>
        </w:rPr>
        <w:t xml:space="preserve">erneuerbare </w:t>
      </w:r>
      <w:r w:rsidRPr="005B0BF4">
        <w:rPr>
          <w:lang w:val="de-DE"/>
        </w:rPr>
        <w:t xml:space="preserve">Stromkapazität </w:t>
      </w:r>
      <w:r>
        <w:rPr>
          <w:lang w:val="de-DE"/>
        </w:rPr>
        <w:t>installiert als alle fossilen Stromkapazitäten zusammen.</w:t>
      </w:r>
      <w:r w:rsidRPr="005B0BF4">
        <w:rPr>
          <w:lang w:val="de-DE"/>
        </w:rPr>
        <w:t xml:space="preserve"> </w:t>
      </w:r>
      <w:r>
        <w:rPr>
          <w:lang w:val="de-DE"/>
        </w:rPr>
        <w:t>Eines der wichtigsten Ergebnisse des diesjährigen GSR ist, dass ganzheitlich</w:t>
      </w:r>
      <w:r w:rsidR="00F84489">
        <w:rPr>
          <w:lang w:val="de-DE"/>
        </w:rPr>
        <w:t>e</w:t>
      </w:r>
      <w:r>
        <w:rPr>
          <w:lang w:val="de-DE"/>
        </w:rPr>
        <w:t>, systemische Ansätze der Schlüssel sind. Sie müssen die Regel</w:t>
      </w:r>
      <w:r w:rsidR="00FF5CFD">
        <w:rPr>
          <w:lang w:val="de-DE"/>
        </w:rPr>
        <w:t xml:space="preserve"> und nicht die Ausnahme werden. Der Anstieg des Anteils erneuerbarer Energien muss mit Investitionen in Infrastruktur und ein umfangreiches Instrumentarium einhergehen: integrierte und verbundene Übertragungs- und Verteilungsnetze, </w:t>
      </w:r>
      <w:r w:rsidR="002305A9">
        <w:rPr>
          <w:lang w:val="de-DE"/>
        </w:rPr>
        <w:t xml:space="preserve">Maßnahmen zum Ausgleich von Angebot und Nachfrage, Sektorkopplung (bspw. die Integration von Strom- und Transportnetzwerken) und der Einsatz </w:t>
      </w:r>
      <w:r w:rsidR="00AD4C7B">
        <w:rPr>
          <w:lang w:val="de-DE"/>
        </w:rPr>
        <w:t>einer breiten Auswahl an</w:t>
      </w:r>
      <w:r w:rsidR="002305A9">
        <w:rPr>
          <w:lang w:val="de-DE"/>
        </w:rPr>
        <w:t xml:space="preserve"> Schlüsseltechnologien.</w:t>
      </w:r>
      <w:r w:rsidR="00AD4C7B">
        <w:rPr>
          <w:lang w:val="de-DE"/>
        </w:rPr>
        <w:t>“</w:t>
      </w:r>
    </w:p>
    <w:p w:rsidR="00AD4C7B" w:rsidRDefault="00AD4C7B" w:rsidP="00146E6F">
      <w:pPr>
        <w:rPr>
          <w:lang w:val="de-DE"/>
        </w:rPr>
      </w:pPr>
      <w:r>
        <w:rPr>
          <w:lang w:val="de-DE"/>
        </w:rPr>
        <w:t>Allerdings schreitet</w:t>
      </w:r>
      <w:r w:rsidRPr="00AD4C7B">
        <w:rPr>
          <w:lang w:val="de-DE"/>
        </w:rPr>
        <w:t xml:space="preserve"> die Energiewende nicht schnell genug voran</w:t>
      </w:r>
      <w:r>
        <w:rPr>
          <w:lang w:val="de-DE"/>
        </w:rPr>
        <w:t>,</w:t>
      </w:r>
      <w:r w:rsidRPr="00AD4C7B">
        <w:rPr>
          <w:lang w:val="de-DE"/>
        </w:rPr>
        <w:t xml:space="preserve"> um die Ziele des Weltklimaabkommens von Paris zu erreichen.</w:t>
      </w:r>
    </w:p>
    <w:p w:rsidR="00AD4C7B" w:rsidRDefault="00AD4C7B" w:rsidP="00146E6F">
      <w:pPr>
        <w:rPr>
          <w:lang w:val="de-DE"/>
        </w:rPr>
      </w:pPr>
      <w:r>
        <w:rPr>
          <w:b/>
          <w:lang w:val="de-DE"/>
        </w:rPr>
        <w:t xml:space="preserve">Investitionen </w:t>
      </w:r>
      <w:r w:rsidR="000A1E8C">
        <w:rPr>
          <w:b/>
          <w:lang w:val="de-DE"/>
        </w:rPr>
        <w:t xml:space="preserve">in erneuerbare Energietechnologien </w:t>
      </w:r>
      <w:r>
        <w:rPr>
          <w:b/>
          <w:lang w:val="de-DE"/>
        </w:rPr>
        <w:t xml:space="preserve">sind </w:t>
      </w:r>
      <w:r w:rsidR="000A1E8C">
        <w:rPr>
          <w:b/>
          <w:lang w:val="de-DE"/>
        </w:rPr>
        <w:t>gesunken</w:t>
      </w:r>
      <w:r>
        <w:rPr>
          <w:lang w:val="de-DE"/>
        </w:rPr>
        <w:t xml:space="preserve">. Obwohl global fast doppelt </w:t>
      </w:r>
      <w:r w:rsidR="00833C9C">
        <w:rPr>
          <w:lang w:val="de-DE"/>
        </w:rPr>
        <w:t>soviel</w:t>
      </w:r>
      <w:r>
        <w:rPr>
          <w:lang w:val="de-DE"/>
        </w:rPr>
        <w:t xml:space="preserve"> in erneuerbare </w:t>
      </w:r>
      <w:r w:rsidR="007A4DB9">
        <w:rPr>
          <w:lang w:val="de-DE"/>
        </w:rPr>
        <w:t>als in</w:t>
      </w:r>
      <w:r w:rsidR="00902C99">
        <w:rPr>
          <w:lang w:val="de-DE"/>
        </w:rPr>
        <w:t xml:space="preserve"> </w:t>
      </w:r>
      <w:r w:rsidR="007A4DB9">
        <w:rPr>
          <w:lang w:val="de-DE"/>
        </w:rPr>
        <w:t>fossile Strom</w:t>
      </w:r>
      <w:r w:rsidR="00902C99">
        <w:rPr>
          <w:lang w:val="de-DE"/>
        </w:rPr>
        <w:t>-</w:t>
      </w:r>
      <w:r w:rsidR="007A4DB9">
        <w:rPr>
          <w:lang w:val="de-DE"/>
        </w:rPr>
        <w:t xml:space="preserve"> und Treibstoffkapazitäten investiert wurde</w:t>
      </w:r>
      <w:r w:rsidR="000A1E8C">
        <w:rPr>
          <w:lang w:val="de-DE"/>
        </w:rPr>
        <w:t>,</w:t>
      </w:r>
      <w:r w:rsidR="007A4DB9">
        <w:rPr>
          <w:lang w:val="de-DE"/>
        </w:rPr>
        <w:t xml:space="preserve"> sanken Investitionen in neue erneuerbare Energieinstallationen um rund 23% ggü. 2015. In Entwicklungs- und Schwellenländern fielen Investitionen um 30%, auf USD 116,6 Milliarden, während Investitionen in Industrieländern um 14%, auf 125 Milliarden</w:t>
      </w:r>
      <w:r w:rsidR="00F84489">
        <w:rPr>
          <w:lang w:val="de-DE"/>
        </w:rPr>
        <w:t xml:space="preserve"> sanken</w:t>
      </w:r>
      <w:r w:rsidR="007A4DB9">
        <w:rPr>
          <w:lang w:val="de-DE"/>
        </w:rPr>
        <w:t>. Investitionen konzentrierten sich stark auf die Wind- und Photovoltaikbranche. Um jedoch die globale Erderwärmung unter 2 Grad Celsius zu halten</w:t>
      </w:r>
      <w:r w:rsidR="000A1E8C">
        <w:rPr>
          <w:lang w:val="de-DE"/>
        </w:rPr>
        <w:t>, sollten</w:t>
      </w:r>
      <w:r w:rsidR="007A4DB9">
        <w:rPr>
          <w:lang w:val="de-DE"/>
        </w:rPr>
        <w:t xml:space="preserve"> alle erneuerbare Energietechnologien eingesetzt werden.</w:t>
      </w:r>
    </w:p>
    <w:p w:rsidR="007A4DB9" w:rsidRDefault="007A4DB9" w:rsidP="00146E6F">
      <w:pPr>
        <w:rPr>
          <w:lang w:val="de-DE"/>
        </w:rPr>
      </w:pPr>
      <w:r w:rsidRPr="007A4DB9">
        <w:rPr>
          <w:b/>
          <w:lang w:val="de-DE"/>
        </w:rPr>
        <w:t>Transport-, Wärme- und Kältesektor hinken immer n</w:t>
      </w:r>
      <w:r>
        <w:rPr>
          <w:b/>
          <w:lang w:val="de-DE"/>
        </w:rPr>
        <w:t xml:space="preserve">och hinter dem Stromsektor her. </w:t>
      </w:r>
      <w:r>
        <w:rPr>
          <w:lang w:val="de-DE"/>
        </w:rPr>
        <w:t xml:space="preserve">Der Einsatz erneuerbare Energien im </w:t>
      </w:r>
      <w:r>
        <w:rPr>
          <w:b/>
          <w:lang w:val="de-DE"/>
        </w:rPr>
        <w:t>Wärme- und Kältesektor</w:t>
      </w:r>
      <w:r>
        <w:rPr>
          <w:lang w:val="de-DE"/>
        </w:rPr>
        <w:t xml:space="preserve"> bleibt eine Herausforderung aufgrund der einzigartigen und dezentralen Natur dieses Markts. Die Dekarbonisierung des </w:t>
      </w:r>
      <w:r>
        <w:rPr>
          <w:b/>
          <w:lang w:val="de-DE"/>
        </w:rPr>
        <w:t>Transportsektors</w:t>
      </w:r>
      <w:r>
        <w:rPr>
          <w:lang w:val="de-DE"/>
        </w:rPr>
        <w:t xml:space="preserve"> basierend auf </w:t>
      </w:r>
      <w:r w:rsidR="00966229">
        <w:rPr>
          <w:lang w:val="de-DE"/>
        </w:rPr>
        <w:t xml:space="preserve">erneuerbare Energien </w:t>
      </w:r>
      <w:r>
        <w:rPr>
          <w:lang w:val="de-DE"/>
        </w:rPr>
        <w:t xml:space="preserve">wird noch nicht ernsthaft in Erwägung gezogen bzw. nicht als Priorität gesehen. Trotz des signifikanten Anstiegs der Verkaufszahlen für elektrische Fahrzeuge, primär aufgrund von sinkenden Batteriekosten, besteht weiterhin signifikanter Bedarf beim Ausbau der nötigen Infrastruktur, welche mit erneuerbarem Strom betrieben werden sollte. </w:t>
      </w:r>
      <w:r w:rsidR="000B6B32">
        <w:rPr>
          <w:lang w:val="de-DE"/>
        </w:rPr>
        <w:t>Die Schiff- und Luftfahrt stellt die größte Herausforderung dar</w:t>
      </w:r>
      <w:r w:rsidR="000A1E8C">
        <w:rPr>
          <w:lang w:val="de-DE"/>
        </w:rPr>
        <w:t xml:space="preserve">, bisher gelang es nicht, die </w:t>
      </w:r>
      <w:r w:rsidR="000B6B32">
        <w:rPr>
          <w:lang w:val="de-DE"/>
        </w:rPr>
        <w:t xml:space="preserve"> Entwicklung von Lösungsansätzen </w:t>
      </w:r>
      <w:r w:rsidR="000A1E8C">
        <w:rPr>
          <w:lang w:val="de-DE"/>
        </w:rPr>
        <w:t>voranzutreiben</w:t>
      </w:r>
      <w:r w:rsidR="000B6B32">
        <w:rPr>
          <w:lang w:val="de-DE"/>
        </w:rPr>
        <w:t>.</w:t>
      </w:r>
    </w:p>
    <w:p w:rsidR="000B6B32" w:rsidRDefault="000B6B32" w:rsidP="00146E6F">
      <w:pPr>
        <w:rPr>
          <w:lang w:val="de-DE"/>
        </w:rPr>
      </w:pPr>
      <w:r w:rsidRPr="000B6B32">
        <w:rPr>
          <w:b/>
          <w:lang w:val="de-DE"/>
        </w:rPr>
        <w:t xml:space="preserve">Subventionen für fossile Energieträger behindern weiterhin Fortschritte. </w:t>
      </w:r>
      <w:r>
        <w:rPr>
          <w:lang w:val="de-DE"/>
        </w:rPr>
        <w:t xml:space="preserve">Globale Subventionen für fossile Energieträger und Atomstrom sind weiterhin höher als jene für erneuerbare Technologien. Ende 2016 hatten sich mehr als 50 Ländern dazu verpflichtet, Subventionen für fossile Energieträger abzubauen. Einige Reformen sind im Gang, allerdings reicht dies nicht aus. In 2014 waren Subventionen für fossile Energieträger viermal so hoch wie jene für erneuerbare Energien. Für jeden </w:t>
      </w:r>
      <w:r>
        <w:rPr>
          <w:lang w:val="de-DE"/>
        </w:rPr>
        <w:lastRenderedPageBreak/>
        <w:t>Dollar, der für erneuerbare Energien ausgegeben wurde, setzten Regierungen 4 Dollar für die Aufrechterhaltung unserer Abhängigkeit von fossilen Energieträgern ein.</w:t>
      </w:r>
    </w:p>
    <w:p w:rsidR="000B6B32" w:rsidRPr="000B6B32" w:rsidRDefault="000B6B32" w:rsidP="00146E6F">
      <w:pPr>
        <w:rPr>
          <w:lang w:val="de-DE"/>
        </w:rPr>
      </w:pPr>
      <w:r>
        <w:rPr>
          <w:b/>
          <w:lang w:val="de-DE"/>
        </w:rPr>
        <w:t>Christine Lins, Exekutivsekretärin von REN21</w:t>
      </w:r>
      <w:r>
        <w:rPr>
          <w:lang w:val="de-DE"/>
        </w:rPr>
        <w:t xml:space="preserve">, erklärte: „Die Welt ist in einem Rennen gegen die Zeit. </w:t>
      </w:r>
      <w:r w:rsidR="00E5498E">
        <w:rPr>
          <w:lang w:val="de-DE"/>
        </w:rPr>
        <w:t xml:space="preserve">Der Kohleausstieg und die Beschleunigung der Investitionen in Energieeffizienzmaßnahmen und erneuerbare Technologien sind die wichtigsten Maßnahmen </w:t>
      </w:r>
      <w:r w:rsidR="0029627A">
        <w:rPr>
          <w:lang w:val="de-DE"/>
        </w:rPr>
        <w:t>für eine schnelle und kosteneffiziente Reduzierung der CO2 Emissionen</w:t>
      </w:r>
      <w:r w:rsidR="00E5498E">
        <w:rPr>
          <w:lang w:val="de-DE"/>
        </w:rPr>
        <w:t>. China ist ein gutes Beispiel: Das Land kündigte im Januar</w:t>
      </w:r>
      <w:r w:rsidR="00F84489">
        <w:rPr>
          <w:lang w:val="de-DE"/>
        </w:rPr>
        <w:t xml:space="preserve"> an</w:t>
      </w:r>
      <w:r w:rsidR="00E5498E">
        <w:rPr>
          <w:lang w:val="de-DE"/>
        </w:rPr>
        <w:t xml:space="preserve">, dass es mehr als 100 Kohlekraftwerken, die sich derzeit in der Entwicklung befinden, </w:t>
      </w:r>
      <w:r w:rsidR="00BB055B">
        <w:rPr>
          <w:lang w:val="de-DE"/>
        </w:rPr>
        <w:t>nicht bauen wird</w:t>
      </w:r>
      <w:r w:rsidR="00E5498E">
        <w:rPr>
          <w:lang w:val="de-DE"/>
        </w:rPr>
        <w:t xml:space="preserve">. </w:t>
      </w:r>
      <w:r w:rsidR="00050D1D">
        <w:rPr>
          <w:lang w:val="de-DE"/>
        </w:rPr>
        <w:t>Dies zeigt: Wenn Regierung</w:t>
      </w:r>
      <w:r w:rsidR="000A1E8C">
        <w:rPr>
          <w:lang w:val="de-DE"/>
        </w:rPr>
        <w:t>en</w:t>
      </w:r>
      <w:r w:rsidR="00050D1D">
        <w:rPr>
          <w:lang w:val="de-DE"/>
        </w:rPr>
        <w:t xml:space="preserve"> handeln und klare, langfristige politische sowie finanzielle Signale und Anreize setzen, kann sich vieles schnell verändern</w:t>
      </w:r>
      <w:r w:rsidR="000A1E8C">
        <w:rPr>
          <w:lang w:val="de-DE"/>
        </w:rPr>
        <w:t>.“</w:t>
      </w:r>
    </w:p>
    <w:p w:rsidR="00146E6F" w:rsidRPr="000A1E8C" w:rsidRDefault="00BB055B" w:rsidP="00146E6F">
      <w:pPr>
        <w:jc w:val="center"/>
        <w:rPr>
          <w:b/>
          <w:lang w:val="de-DE"/>
        </w:rPr>
      </w:pPr>
      <w:r w:rsidRPr="000A1E8C">
        <w:rPr>
          <w:b/>
          <w:lang w:val="de-DE"/>
        </w:rPr>
        <w:t>- Ende</w:t>
      </w:r>
      <w:r w:rsidR="00146E6F" w:rsidRPr="000A1E8C">
        <w:rPr>
          <w:b/>
          <w:lang w:val="de-DE"/>
        </w:rPr>
        <w:t xml:space="preserve"> - </w:t>
      </w:r>
    </w:p>
    <w:p w:rsidR="00E37A36" w:rsidRPr="000A1E8C" w:rsidRDefault="00E37A36" w:rsidP="00146E6F">
      <w:pPr>
        <w:pStyle w:val="Default"/>
        <w:rPr>
          <w:rFonts w:asciiTheme="minorHAnsi" w:hAnsiTheme="minorHAnsi"/>
          <w:b/>
          <w:iCs/>
          <w:lang w:val="de-DE"/>
        </w:rPr>
      </w:pPr>
    </w:p>
    <w:p w:rsidR="00146E6F" w:rsidRPr="00BB055B" w:rsidRDefault="00BB055B" w:rsidP="00146E6F">
      <w:pPr>
        <w:rPr>
          <w:b/>
          <w:lang w:val="de-DE"/>
        </w:rPr>
      </w:pPr>
      <w:r w:rsidRPr="00BB055B">
        <w:rPr>
          <w:b/>
          <w:lang w:val="de-DE"/>
        </w:rPr>
        <w:t xml:space="preserve">Über REN21 den </w:t>
      </w:r>
      <w:r w:rsidRPr="00BB055B">
        <w:rPr>
          <w:b/>
          <w:i/>
          <w:lang w:val="de-DE"/>
        </w:rPr>
        <w:t>Renewables Global Status Report</w:t>
      </w:r>
    </w:p>
    <w:p w:rsidR="00146E6F" w:rsidRPr="00BB055B" w:rsidRDefault="00146E6F" w:rsidP="00146E6F">
      <w:pPr>
        <w:rPr>
          <w:lang w:val="de-DE"/>
        </w:rPr>
      </w:pPr>
      <w:r w:rsidRPr="00BB055B">
        <w:rPr>
          <w:lang w:val="de-DE"/>
        </w:rPr>
        <w:t xml:space="preserve">REN21’s </w:t>
      </w:r>
      <w:r w:rsidRPr="00BB055B">
        <w:rPr>
          <w:i/>
          <w:lang w:val="de-DE"/>
        </w:rPr>
        <w:t xml:space="preserve">Renewables 2017 Global Status Report </w:t>
      </w:r>
      <w:r w:rsidR="00BB055B" w:rsidRPr="00BB055B">
        <w:rPr>
          <w:lang w:val="de-DE"/>
        </w:rPr>
        <w:t xml:space="preserve">präsentiert Entwicklungen und Trends bis Ende 2016 sowie beobachtete Trends </w:t>
      </w:r>
      <w:r w:rsidR="00BB055B">
        <w:rPr>
          <w:lang w:val="de-DE"/>
        </w:rPr>
        <w:t>von Anfang</w:t>
      </w:r>
      <w:r w:rsidR="00BB055B" w:rsidRPr="00BB055B">
        <w:rPr>
          <w:lang w:val="de-DE"/>
        </w:rPr>
        <w:t xml:space="preserve"> 2017 wo möglich. </w:t>
      </w:r>
    </w:p>
    <w:p w:rsidR="00776EAD" w:rsidRDefault="00BB055B" w:rsidP="00A36660">
      <w:pPr>
        <w:pBdr>
          <w:bottom w:val="single" w:sz="6" w:space="1" w:color="auto"/>
        </w:pBdr>
        <w:rPr>
          <w:lang w:val="de-DE"/>
        </w:rPr>
      </w:pPr>
      <w:r w:rsidRPr="00BB055B">
        <w:rPr>
          <w:lang w:val="de-DE"/>
        </w:rPr>
        <w:t xml:space="preserve">Der </w:t>
      </w:r>
      <w:r w:rsidRPr="00BB055B">
        <w:rPr>
          <w:i/>
          <w:lang w:val="de-DE"/>
        </w:rPr>
        <w:t>Renewables Global Status Report</w:t>
      </w:r>
      <w:r w:rsidRPr="00BB055B">
        <w:rPr>
          <w:lang w:val="de-DE"/>
        </w:rPr>
        <w:t xml:space="preserve"> </w:t>
      </w:r>
      <w:r>
        <w:rPr>
          <w:lang w:val="de-DE"/>
        </w:rPr>
        <w:t xml:space="preserve">ist eine jährliche Publikation und erschien erstmals in 2005. Der Bericht biete den umfangreichsten und aktuellsten Überblick </w:t>
      </w:r>
      <w:r w:rsidR="00776EAD">
        <w:rPr>
          <w:lang w:val="de-DE"/>
        </w:rPr>
        <w:t>zum weltweiten Status sowie zu aktuellen Entwicklungen und Trends</w:t>
      </w:r>
      <w:r w:rsidR="00776EAD">
        <w:rPr>
          <w:lang w:val="de-DE"/>
        </w:rPr>
        <w:t xml:space="preserve"> in erneuerbaren Energiemärkten</w:t>
      </w:r>
      <w:r>
        <w:rPr>
          <w:lang w:val="de-DE"/>
        </w:rPr>
        <w:t xml:space="preserve">, Industrie, Investitionen und Politik. Der Bericht zielt nicht </w:t>
      </w:r>
      <w:r w:rsidR="00776EAD">
        <w:rPr>
          <w:lang w:val="de-DE"/>
        </w:rPr>
        <w:t xml:space="preserve">darauf ab, </w:t>
      </w:r>
      <w:r w:rsidR="00776EAD" w:rsidRPr="00652A54">
        <w:rPr>
          <w:lang w:val="de-DE"/>
        </w:rPr>
        <w:t xml:space="preserve">Analysen oder </w:t>
      </w:r>
      <w:r w:rsidR="00776EAD">
        <w:rPr>
          <w:lang w:val="de-DE"/>
        </w:rPr>
        <w:t>Prognose</w:t>
      </w:r>
      <w:r w:rsidR="00776EAD" w:rsidRPr="00652A54">
        <w:rPr>
          <w:lang w:val="de-DE"/>
        </w:rPr>
        <w:t xml:space="preserve"> </w:t>
      </w:r>
      <w:r w:rsidR="00776EAD">
        <w:rPr>
          <w:lang w:val="de-DE"/>
        </w:rPr>
        <w:t>zu liefern</w:t>
      </w:r>
      <w:r>
        <w:rPr>
          <w:lang w:val="de-DE"/>
        </w:rPr>
        <w:t xml:space="preserve">. </w:t>
      </w:r>
    </w:p>
    <w:p w:rsidR="00A36660" w:rsidRDefault="00776EAD" w:rsidP="00A36660">
      <w:pPr>
        <w:pBdr>
          <w:bottom w:val="single" w:sz="6" w:space="1" w:color="auto"/>
        </w:pBdr>
        <w:rPr>
          <w:lang w:val="de-DE"/>
        </w:rPr>
      </w:pPr>
      <w:r>
        <w:rPr>
          <w:lang w:val="de-DE"/>
        </w:rPr>
        <w:t xml:space="preserve">Die Daten werden von einem Netzwerk, bestehend aus </w:t>
      </w:r>
      <w:r>
        <w:rPr>
          <w:lang w:val="de-DE"/>
        </w:rPr>
        <w:t>800</w:t>
      </w:r>
      <w:r>
        <w:rPr>
          <w:lang w:val="de-DE"/>
        </w:rPr>
        <w:t xml:space="preserve"> Individuen, Forschern Akademikern und Autoren</w:t>
      </w:r>
      <w:r>
        <w:rPr>
          <w:lang w:val="de-DE"/>
        </w:rPr>
        <w:t xml:space="preserve"> </w:t>
      </w:r>
      <w:r w:rsidR="00BB055B">
        <w:rPr>
          <w:lang w:val="de-DE"/>
        </w:rPr>
        <w:t xml:space="preserve">aus der ganzen Welt </w:t>
      </w:r>
      <w:r w:rsidR="00A36660">
        <w:rPr>
          <w:lang w:val="de-DE"/>
        </w:rPr>
        <w:t xml:space="preserve">bereitgestellt </w:t>
      </w:r>
      <w:hyperlink r:id="rId8" w:history="1">
        <w:r w:rsidR="00A36660" w:rsidRPr="00556341">
          <w:rPr>
            <w:rStyle w:val="Hyperlink"/>
            <w:lang w:val="de-DE"/>
          </w:rPr>
          <w:t>www.ren21.net/gsr</w:t>
        </w:r>
      </w:hyperlink>
    </w:p>
    <w:p w:rsidR="00146E6F" w:rsidRPr="00BB055B" w:rsidRDefault="00BB055B" w:rsidP="00146E6F">
      <w:pPr>
        <w:pStyle w:val="Default"/>
        <w:rPr>
          <w:rFonts w:asciiTheme="minorHAnsi" w:hAnsiTheme="minorHAnsi"/>
          <w:b/>
          <w:iCs/>
          <w:lang w:val="de-DE"/>
        </w:rPr>
      </w:pPr>
      <w:r w:rsidRPr="00BB055B">
        <w:rPr>
          <w:rFonts w:asciiTheme="minorHAnsi" w:hAnsiTheme="minorHAnsi"/>
          <w:b/>
          <w:iCs/>
          <w:lang w:val="de-DE"/>
        </w:rPr>
        <w:t>Interviews sind vorab möglich.</w:t>
      </w:r>
    </w:p>
    <w:p w:rsidR="00146E6F" w:rsidRPr="00BB055B" w:rsidRDefault="00146E6F" w:rsidP="00146E6F">
      <w:pPr>
        <w:pStyle w:val="Default"/>
        <w:rPr>
          <w:rFonts w:asciiTheme="minorHAnsi" w:eastAsia="Times New Roman" w:hAnsiTheme="minorHAnsi"/>
          <w:iCs/>
          <w:sz w:val="22"/>
          <w:szCs w:val="22"/>
          <w:lang w:val="de-DE"/>
        </w:rPr>
      </w:pPr>
    </w:p>
    <w:p w:rsidR="00146E6F" w:rsidRPr="009B580E" w:rsidRDefault="00BB055B" w:rsidP="00146E6F">
      <w:pPr>
        <w:spacing w:after="0" w:line="240" w:lineRule="auto"/>
        <w:rPr>
          <w:lang w:val="de-DE"/>
        </w:rPr>
      </w:pPr>
      <w:r w:rsidRPr="00A36660">
        <w:rPr>
          <w:rFonts w:eastAsia="Times New Roman"/>
          <w:iCs/>
          <w:lang w:val="de-DE"/>
        </w:rPr>
        <w:t xml:space="preserve">Vorschau folgender Dokumente für Medienvertreter erhältlich unter </w:t>
      </w:r>
      <w:hyperlink r:id="rId9" w:history="1">
        <w:r w:rsidR="00191F19" w:rsidRPr="009B580E">
          <w:rPr>
            <w:rStyle w:val="Hyperlink"/>
            <w:lang w:val="de-DE"/>
          </w:rPr>
          <w:t>https://ren21.rotcloud.com/index.php/s/VFmszi7gjkmg8eI</w:t>
        </w:r>
      </w:hyperlink>
    </w:p>
    <w:p w:rsidR="00191F19" w:rsidRPr="00BB055B" w:rsidRDefault="00191F19" w:rsidP="00146E6F">
      <w:pPr>
        <w:spacing w:after="0" w:line="240" w:lineRule="auto"/>
        <w:rPr>
          <w:rFonts w:eastAsia="Times New Roman"/>
          <w:iCs/>
          <w:lang w:val="de-DE"/>
        </w:rPr>
      </w:pPr>
    </w:p>
    <w:p w:rsidR="00146E6F" w:rsidRPr="00BB055B" w:rsidRDefault="00146E6F" w:rsidP="00146E6F">
      <w:pPr>
        <w:pStyle w:val="ListParagraph"/>
        <w:numPr>
          <w:ilvl w:val="0"/>
          <w:numId w:val="43"/>
        </w:numPr>
        <w:spacing w:after="0" w:line="240" w:lineRule="auto"/>
        <w:rPr>
          <w:rFonts w:eastAsia="Times New Roman"/>
          <w:lang w:val="de-DE"/>
        </w:rPr>
      </w:pPr>
      <w:r w:rsidRPr="00BB055B">
        <w:rPr>
          <w:rFonts w:eastAsia="Times New Roman"/>
          <w:iCs/>
          <w:lang w:val="de-DE"/>
        </w:rPr>
        <w:t xml:space="preserve">Highlights </w:t>
      </w:r>
      <w:r w:rsidR="00BB055B" w:rsidRPr="00BB055B">
        <w:rPr>
          <w:rFonts w:eastAsia="Times New Roman"/>
          <w:iCs/>
          <w:lang w:val="de-DE"/>
        </w:rPr>
        <w:t>des Berichts (E</w:t>
      </w:r>
      <w:r w:rsidRPr="00BB055B">
        <w:rPr>
          <w:rFonts w:eastAsia="Times New Roman"/>
          <w:iCs/>
          <w:lang w:val="de-DE"/>
        </w:rPr>
        <w:t>nglis</w:t>
      </w:r>
      <w:r w:rsidR="00A36660">
        <w:rPr>
          <w:rFonts w:eastAsia="Times New Roman"/>
          <w:iCs/>
          <w:lang w:val="de-DE"/>
        </w:rPr>
        <w:t>ch</w:t>
      </w:r>
      <w:r w:rsidR="00BB055B">
        <w:rPr>
          <w:rFonts w:eastAsia="Times New Roman"/>
          <w:iCs/>
          <w:lang w:val="de-DE"/>
        </w:rPr>
        <w:t>).</w:t>
      </w:r>
      <w:r w:rsidRPr="00BB055B">
        <w:rPr>
          <w:rFonts w:eastAsia="Times New Roman"/>
          <w:iCs/>
          <w:lang w:val="de-DE"/>
        </w:rPr>
        <w:t xml:space="preserve"> </w:t>
      </w:r>
      <w:r w:rsidR="00BB055B">
        <w:rPr>
          <w:rFonts w:eastAsia="Times New Roman"/>
          <w:iCs/>
          <w:lang w:val="de-DE"/>
        </w:rPr>
        <w:t>Der gesamte Bericht kann auf Nachfrage bereitgestellt werden.</w:t>
      </w:r>
    </w:p>
    <w:p w:rsidR="00776EAD" w:rsidRPr="00190B58" w:rsidRDefault="00776EAD" w:rsidP="00776EAD">
      <w:pPr>
        <w:pStyle w:val="ListParagraph"/>
        <w:numPr>
          <w:ilvl w:val="0"/>
          <w:numId w:val="43"/>
        </w:numPr>
        <w:spacing w:after="0" w:line="240" w:lineRule="auto"/>
        <w:rPr>
          <w:rFonts w:eastAsia="Times New Roman"/>
        </w:rPr>
      </w:pPr>
      <w:r w:rsidRPr="00190B58">
        <w:rPr>
          <w:rFonts w:eastAsia="Times New Roman"/>
          <w:iCs/>
        </w:rPr>
        <w:t>Infogra</w:t>
      </w:r>
      <w:r>
        <w:rPr>
          <w:rFonts w:eastAsia="Times New Roman"/>
          <w:iCs/>
        </w:rPr>
        <w:t>fiken</w:t>
      </w:r>
    </w:p>
    <w:p w:rsidR="00146E6F" w:rsidRPr="006F0F28" w:rsidRDefault="00146E6F" w:rsidP="00146E6F">
      <w:pPr>
        <w:pStyle w:val="ListParagraph"/>
        <w:numPr>
          <w:ilvl w:val="0"/>
          <w:numId w:val="43"/>
        </w:numPr>
        <w:spacing w:after="0" w:line="240" w:lineRule="auto"/>
        <w:rPr>
          <w:rFonts w:eastAsia="Times New Roman"/>
        </w:rPr>
      </w:pPr>
      <w:bookmarkStart w:id="0" w:name="_GoBack"/>
      <w:bookmarkEnd w:id="0"/>
      <w:r w:rsidRPr="00902C99">
        <w:rPr>
          <w:rFonts w:eastAsia="Times New Roman"/>
          <w:iCs/>
          <w:lang w:val="de-DE"/>
        </w:rPr>
        <w:t>National</w:t>
      </w:r>
      <w:r w:rsidR="00BB055B" w:rsidRPr="00902C99">
        <w:rPr>
          <w:rFonts w:eastAsia="Times New Roman"/>
          <w:iCs/>
          <w:lang w:val="de-DE"/>
        </w:rPr>
        <w:t>e</w:t>
      </w:r>
      <w:r w:rsidR="00BB055B">
        <w:rPr>
          <w:rFonts w:eastAsia="Times New Roman"/>
          <w:iCs/>
        </w:rPr>
        <w:t xml:space="preserve"> und</w:t>
      </w:r>
      <w:r w:rsidR="00BB055B" w:rsidRPr="00902C99">
        <w:rPr>
          <w:rFonts w:eastAsia="Times New Roman"/>
          <w:iCs/>
          <w:lang w:val="de-DE"/>
        </w:rPr>
        <w:t xml:space="preserve"> r</w:t>
      </w:r>
      <w:r w:rsidRPr="00902C99">
        <w:rPr>
          <w:rFonts w:eastAsia="Times New Roman"/>
          <w:iCs/>
          <w:lang w:val="de-DE"/>
        </w:rPr>
        <w:t>egional</w:t>
      </w:r>
      <w:r w:rsidR="00BB055B" w:rsidRPr="00902C99">
        <w:rPr>
          <w:rFonts w:eastAsia="Times New Roman"/>
          <w:iCs/>
          <w:lang w:val="de-DE"/>
        </w:rPr>
        <w:t>e</w:t>
      </w:r>
      <w:r w:rsidRPr="006F0F28">
        <w:rPr>
          <w:rFonts w:eastAsia="Times New Roman"/>
          <w:iCs/>
        </w:rPr>
        <w:t xml:space="preserve"> Fact Sheets</w:t>
      </w:r>
    </w:p>
    <w:p w:rsidR="00146E6F" w:rsidRPr="00902C99" w:rsidRDefault="00BB055B" w:rsidP="00146E6F">
      <w:pPr>
        <w:pStyle w:val="ListParagraph"/>
        <w:numPr>
          <w:ilvl w:val="0"/>
          <w:numId w:val="43"/>
        </w:numPr>
        <w:spacing w:after="0" w:line="240" w:lineRule="auto"/>
        <w:rPr>
          <w:rFonts w:eastAsia="Times New Roman"/>
          <w:iCs/>
          <w:lang w:val="de-DE"/>
        </w:rPr>
      </w:pPr>
      <w:r w:rsidRPr="00BB055B">
        <w:rPr>
          <w:rFonts w:eastAsia="Times New Roman"/>
          <w:iCs/>
          <w:lang w:val="de-DE"/>
        </w:rPr>
        <w:t>Pressemitteilungen in: Arabisch, Chinesisch</w:t>
      </w:r>
      <w:r w:rsidR="00146E6F" w:rsidRPr="00BB055B">
        <w:rPr>
          <w:rFonts w:eastAsia="Times New Roman"/>
          <w:iCs/>
          <w:lang w:val="de-DE"/>
        </w:rPr>
        <w:t>, Englis</w:t>
      </w:r>
      <w:r w:rsidRPr="00BB055B">
        <w:rPr>
          <w:rFonts w:eastAsia="Times New Roman"/>
          <w:iCs/>
          <w:lang w:val="de-DE"/>
        </w:rPr>
        <w:t>c</w:t>
      </w:r>
      <w:r w:rsidR="00146E6F" w:rsidRPr="00BB055B">
        <w:rPr>
          <w:rFonts w:eastAsia="Times New Roman"/>
          <w:iCs/>
          <w:lang w:val="de-DE"/>
        </w:rPr>
        <w:t>h,</w:t>
      </w:r>
      <w:r w:rsidRPr="00BB055B">
        <w:rPr>
          <w:rFonts w:eastAsia="Times New Roman"/>
          <w:iCs/>
          <w:lang w:val="de-DE"/>
        </w:rPr>
        <w:t xml:space="preserve"> Farsi, Französisch</w:t>
      </w:r>
      <w:r w:rsidR="00146E6F" w:rsidRPr="00BB055B">
        <w:rPr>
          <w:rFonts w:eastAsia="Times New Roman"/>
          <w:iCs/>
          <w:lang w:val="de-DE"/>
        </w:rPr>
        <w:t xml:space="preserve">, </w:t>
      </w:r>
      <w:r>
        <w:rPr>
          <w:rFonts w:eastAsia="Times New Roman"/>
          <w:iCs/>
          <w:lang w:val="de-DE"/>
        </w:rPr>
        <w:t>Deutsch</w:t>
      </w:r>
      <w:r w:rsidR="00146E6F" w:rsidRPr="00BB055B">
        <w:rPr>
          <w:rFonts w:eastAsia="Times New Roman"/>
          <w:iCs/>
          <w:lang w:val="de-DE"/>
        </w:rPr>
        <w:t xml:space="preserve">, </w:t>
      </w:r>
      <w:r>
        <w:rPr>
          <w:rFonts w:eastAsia="Times New Roman"/>
          <w:iCs/>
          <w:lang w:val="de-DE"/>
        </w:rPr>
        <w:t>Griechisch</w:t>
      </w:r>
      <w:r w:rsidR="00146E6F" w:rsidRPr="00BB055B">
        <w:rPr>
          <w:rFonts w:eastAsia="Times New Roman"/>
          <w:iCs/>
          <w:lang w:val="de-DE"/>
        </w:rPr>
        <w:t xml:space="preserve">, </w:t>
      </w:r>
      <w:r w:rsidR="0079029D">
        <w:rPr>
          <w:rFonts w:eastAsia="Times New Roman"/>
          <w:iCs/>
          <w:lang w:val="de-DE"/>
        </w:rPr>
        <w:t>J</w:t>
      </w:r>
      <w:r>
        <w:rPr>
          <w:rFonts w:eastAsia="Times New Roman"/>
          <w:iCs/>
          <w:lang w:val="de-DE"/>
        </w:rPr>
        <w:t>apanisch</w:t>
      </w:r>
      <w:r w:rsidR="00146E6F" w:rsidRPr="00BB055B">
        <w:rPr>
          <w:rFonts w:eastAsia="Times New Roman"/>
          <w:iCs/>
          <w:lang w:val="de-DE"/>
        </w:rPr>
        <w:t xml:space="preserve">, </w:t>
      </w:r>
      <w:r w:rsidR="0079029D">
        <w:rPr>
          <w:rFonts w:eastAsia="Times New Roman"/>
          <w:iCs/>
          <w:lang w:val="de-DE"/>
        </w:rPr>
        <w:t>K</w:t>
      </w:r>
      <w:r>
        <w:rPr>
          <w:rFonts w:eastAsia="Times New Roman"/>
          <w:iCs/>
          <w:lang w:val="de-DE"/>
        </w:rPr>
        <w:t>oreanisch</w:t>
      </w:r>
      <w:r w:rsidR="00146E6F" w:rsidRPr="00BB055B">
        <w:rPr>
          <w:rFonts w:eastAsia="Times New Roman"/>
          <w:iCs/>
          <w:lang w:val="de-DE"/>
        </w:rPr>
        <w:t xml:space="preserve">, </w:t>
      </w:r>
      <w:r w:rsidR="0079029D">
        <w:rPr>
          <w:rFonts w:eastAsia="Times New Roman"/>
          <w:iCs/>
          <w:lang w:val="de-DE"/>
        </w:rPr>
        <w:t>Portugiesisch</w:t>
      </w:r>
      <w:r w:rsidR="00146E6F" w:rsidRPr="00BB055B">
        <w:rPr>
          <w:rFonts w:eastAsia="Times New Roman"/>
          <w:iCs/>
          <w:lang w:val="de-DE"/>
        </w:rPr>
        <w:t>, Spanis</w:t>
      </w:r>
      <w:r>
        <w:rPr>
          <w:rFonts w:eastAsia="Times New Roman"/>
          <w:iCs/>
          <w:lang w:val="de-DE"/>
        </w:rPr>
        <w:t>ch u</w:t>
      </w:r>
      <w:r w:rsidR="00146E6F" w:rsidRPr="00BB055B">
        <w:rPr>
          <w:rFonts w:eastAsia="Times New Roman"/>
          <w:iCs/>
          <w:lang w:val="de-DE"/>
        </w:rPr>
        <w:t xml:space="preserve">nd </w:t>
      </w:r>
      <w:r w:rsidR="0079029D">
        <w:rPr>
          <w:rFonts w:eastAsia="Times New Roman"/>
          <w:iCs/>
          <w:lang w:val="de-DE"/>
        </w:rPr>
        <w:t>V</w:t>
      </w:r>
      <w:r w:rsidR="00776EAD">
        <w:rPr>
          <w:rFonts w:eastAsia="Times New Roman"/>
          <w:iCs/>
          <w:lang w:val="de-DE"/>
        </w:rPr>
        <w:t>ietnamesisch</w:t>
      </w:r>
    </w:p>
    <w:p w:rsidR="00146E6F" w:rsidRPr="00902C99" w:rsidRDefault="00146E6F" w:rsidP="00146E6F">
      <w:pPr>
        <w:pStyle w:val="BodyA"/>
        <w:widowControl w:val="0"/>
        <w:suppressAutoHyphens/>
        <w:spacing w:after="0" w:line="240" w:lineRule="auto"/>
        <w:rPr>
          <w:rFonts w:asciiTheme="minorHAnsi" w:hAnsiTheme="minorHAnsi"/>
          <w:lang w:val="de-DE"/>
        </w:rPr>
      </w:pPr>
    </w:p>
    <w:p w:rsidR="00146E6F" w:rsidRPr="00776EAD" w:rsidRDefault="00BB055B" w:rsidP="00146E6F">
      <w:pPr>
        <w:pStyle w:val="BodyA"/>
        <w:widowControl w:val="0"/>
        <w:suppressAutoHyphens/>
        <w:spacing w:after="0" w:line="240" w:lineRule="auto"/>
        <w:rPr>
          <w:rFonts w:asciiTheme="minorHAnsi" w:hAnsiTheme="minorHAnsi"/>
          <w:lang w:val="en-GB"/>
        </w:rPr>
      </w:pPr>
      <w:r w:rsidRPr="00776EAD">
        <w:rPr>
          <w:rFonts w:asciiTheme="minorHAnsi" w:hAnsiTheme="minorHAnsi"/>
          <w:b/>
          <w:bCs/>
          <w:lang w:val="en-GB"/>
        </w:rPr>
        <w:t>Ansprechpartner</w:t>
      </w:r>
      <w:r w:rsidR="00146E6F" w:rsidRPr="00776EAD">
        <w:rPr>
          <w:rFonts w:asciiTheme="minorHAnsi" w:hAnsiTheme="minorHAnsi"/>
          <w:b/>
          <w:bCs/>
          <w:lang w:val="en-GB"/>
        </w:rPr>
        <w:t xml:space="preserve">: </w:t>
      </w:r>
      <w:r w:rsidR="00146E6F" w:rsidRPr="00776EAD">
        <w:rPr>
          <w:rFonts w:asciiTheme="minorHAnsi" w:hAnsiTheme="minorHAnsi"/>
          <w:lang w:val="en-GB"/>
        </w:rPr>
        <w:t>Christine Lins</w:t>
      </w:r>
      <w:r w:rsidRPr="00776EAD">
        <w:rPr>
          <w:rFonts w:asciiTheme="minorHAnsi" w:hAnsiTheme="minorHAnsi"/>
          <w:lang w:val="en-GB"/>
        </w:rPr>
        <w:t xml:space="preserve">, </w:t>
      </w:r>
      <w:r w:rsidR="00966229" w:rsidRPr="00190B58">
        <w:rPr>
          <w:rFonts w:asciiTheme="minorHAnsi" w:hAnsiTheme="minorHAnsi"/>
          <w:lang w:val="en-US"/>
        </w:rPr>
        <w:t>Executive Secretary</w:t>
      </w:r>
      <w:r w:rsidR="00146E6F" w:rsidRPr="00776EAD">
        <w:rPr>
          <w:rFonts w:asciiTheme="minorHAnsi" w:hAnsiTheme="minorHAnsi"/>
          <w:lang w:val="en-GB"/>
        </w:rPr>
        <w:t xml:space="preserve">, +33 (0) 1 44 37 50 90; +33 6 16 01 72 89 (m); </w:t>
      </w:r>
      <w:hyperlink r:id="rId10" w:history="1">
        <w:r w:rsidR="00146E6F" w:rsidRPr="00776EAD">
          <w:rPr>
            <w:rStyle w:val="Hyperlink"/>
            <w:rFonts w:asciiTheme="minorHAnsi" w:hAnsiTheme="minorHAnsi"/>
            <w:lang w:val="en-GB"/>
          </w:rPr>
          <w:t>christine.lins@ren21.net</w:t>
        </w:r>
      </w:hyperlink>
    </w:p>
    <w:p w:rsidR="00146E6F" w:rsidRPr="00776EAD" w:rsidRDefault="00146E6F" w:rsidP="00146E6F">
      <w:pPr>
        <w:pStyle w:val="BodyA"/>
        <w:widowControl w:val="0"/>
        <w:suppressAutoHyphens/>
        <w:spacing w:after="0" w:line="240" w:lineRule="auto"/>
        <w:rPr>
          <w:rFonts w:asciiTheme="minorHAnsi" w:eastAsia="Times New Roman" w:hAnsiTheme="minorHAnsi" w:cs="Times New Roman"/>
          <w:lang w:val="en-GB"/>
        </w:rPr>
      </w:pPr>
    </w:p>
    <w:p w:rsidR="00146E6F" w:rsidRDefault="00902C99" w:rsidP="00146E6F">
      <w:pPr>
        <w:pStyle w:val="BodyA"/>
        <w:widowControl w:val="0"/>
        <w:suppressAutoHyphens/>
        <w:spacing w:after="0" w:line="240" w:lineRule="auto"/>
        <w:rPr>
          <w:rStyle w:val="Hyperlink"/>
          <w:rFonts w:asciiTheme="minorHAnsi" w:hAnsiTheme="minorHAnsi"/>
          <w:lang w:val="en-US"/>
        </w:rPr>
      </w:pPr>
      <w:r>
        <w:rPr>
          <w:rFonts w:asciiTheme="minorHAnsi" w:hAnsiTheme="minorHAnsi"/>
          <w:b/>
          <w:bCs/>
          <w:lang w:val="en-US"/>
        </w:rPr>
        <w:t>Medienkontakt</w:t>
      </w:r>
      <w:r w:rsidR="00146E6F" w:rsidRPr="00190B58">
        <w:rPr>
          <w:rFonts w:asciiTheme="minorHAnsi" w:hAnsiTheme="minorHAnsi"/>
          <w:b/>
          <w:bCs/>
          <w:lang w:val="en-US"/>
        </w:rPr>
        <w:t xml:space="preserve">: </w:t>
      </w:r>
      <w:r w:rsidR="00146E6F" w:rsidRPr="00190B58">
        <w:rPr>
          <w:rFonts w:asciiTheme="minorHAnsi" w:hAnsiTheme="minorHAnsi"/>
          <w:lang w:val="en-US"/>
        </w:rPr>
        <w:t>Laura Williamson, Communication and Outreach Manager, +33 (0) 1 44 37 50 99; +33 6 03 06 02 58</w:t>
      </w:r>
      <w:r w:rsidR="00146E6F">
        <w:rPr>
          <w:rFonts w:asciiTheme="minorHAnsi" w:hAnsiTheme="minorHAnsi"/>
          <w:lang w:val="en-US"/>
        </w:rPr>
        <w:t xml:space="preserve"> (m) </w:t>
      </w:r>
      <w:hyperlink r:id="rId11" w:history="1">
        <w:r w:rsidR="00146E6F" w:rsidRPr="007F7C0F">
          <w:rPr>
            <w:rStyle w:val="Hyperlink"/>
            <w:rFonts w:asciiTheme="minorHAnsi" w:hAnsiTheme="minorHAnsi"/>
            <w:lang w:val="en-US"/>
          </w:rPr>
          <w:t>laura.williamson@ren21.net</w:t>
        </w:r>
      </w:hyperlink>
    </w:p>
    <w:sectPr w:rsidR="00146E6F" w:rsidSect="008D30AF">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68" w:rsidRDefault="00012168" w:rsidP="004B1806">
      <w:pPr>
        <w:spacing w:after="0" w:line="240" w:lineRule="auto"/>
      </w:pPr>
      <w:r>
        <w:separator/>
      </w:r>
    </w:p>
  </w:endnote>
  <w:endnote w:type="continuationSeparator" w:id="0">
    <w:p w:rsidR="00012168" w:rsidRDefault="00012168" w:rsidP="004B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90" w:rsidRDefault="00731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0936"/>
      <w:docPartObj>
        <w:docPartGallery w:val="Page Numbers (Bottom of Page)"/>
        <w:docPartUnique/>
      </w:docPartObj>
    </w:sdtPr>
    <w:sdtEndPr>
      <w:rPr>
        <w:noProof/>
      </w:rPr>
    </w:sdtEndPr>
    <w:sdtContent>
      <w:p w:rsidR="00F23946" w:rsidRDefault="00F23946" w:rsidP="008D30AF">
        <w:pPr>
          <w:pStyle w:val="Footer"/>
          <w:jc w:val="right"/>
        </w:pPr>
        <w:r>
          <w:t xml:space="preserve">Page | </w:t>
        </w:r>
        <w:r>
          <w:fldChar w:fldCharType="begin"/>
        </w:r>
        <w:r>
          <w:instrText xml:space="preserve"> PAGE   \* MERGEFORMAT </w:instrText>
        </w:r>
        <w:r>
          <w:fldChar w:fldCharType="separate"/>
        </w:r>
        <w:r w:rsidR="00776EAD">
          <w:rPr>
            <w:noProof/>
          </w:rPr>
          <w:t>2</w:t>
        </w:r>
        <w:r>
          <w:rPr>
            <w:noProof/>
          </w:rPr>
          <w:fldChar w:fldCharType="end"/>
        </w:r>
        <w:r>
          <w:rPr>
            <w:noProof/>
          </w:rPr>
          <w:t xml:space="preserve">                              </w:t>
        </w:r>
        <w:r w:rsidR="00731B90">
          <w:rPr>
            <w:noProof/>
          </w:rPr>
          <w:t xml:space="preserve">                    </w:t>
        </w:r>
        <w:r>
          <w:rPr>
            <w:noProof/>
          </w:rPr>
          <w:t xml:space="preserve">                                                                                     </w:t>
        </w:r>
        <w:r w:rsidR="000F1179" w:rsidRPr="00551126">
          <w:rPr>
            <w:rFonts w:ascii="Arial" w:hAnsi="Arial" w:cs="Arial"/>
            <w:noProof/>
            <w:sz w:val="16"/>
            <w:szCs w:val="16"/>
            <w:lang w:val="en-GB" w:eastAsia="en-GB"/>
          </w:rPr>
          <w:drawing>
            <wp:inline distT="0" distB="0" distL="0" distR="0" wp14:anchorId="35AD46CB" wp14:editId="5381A92B">
              <wp:extent cx="964096" cy="274523"/>
              <wp:effectExtent l="0" t="0" r="7620" b="0"/>
              <wp:docPr id="2"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973653" cy="277244"/>
                      </a:xfrm>
                      <a:prstGeom prst="rect">
                        <a:avLst/>
                      </a:prstGeom>
                    </pic:spPr>
                  </pic:pic>
                </a:graphicData>
              </a:graphic>
            </wp:inline>
          </w:drawing>
        </w:r>
      </w:p>
    </w:sdtContent>
  </w:sdt>
  <w:p w:rsidR="00F23946" w:rsidRPr="0052639C" w:rsidRDefault="00F23946">
    <w:pPr>
      <w:pStyle w:val="Footer"/>
      <w:rPr>
        <w:sz w:val="2"/>
        <w:szCs w:val="2"/>
      </w:rPr>
    </w:pPr>
    <w:r>
      <w:rPr>
        <w:sz w:val="2"/>
        <w:szCs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793"/>
      <w:gridCol w:w="5289"/>
    </w:tblGrid>
    <w:tr w:rsidR="00F23946" w:rsidRPr="00551126" w:rsidTr="00F23946">
      <w:trPr>
        <w:trHeight w:val="24"/>
      </w:trPr>
      <w:tc>
        <w:tcPr>
          <w:tcW w:w="4793" w:type="dxa"/>
          <w:tcBorders>
            <w:right w:val="single" w:sz="12" w:space="0" w:color="FFC000"/>
          </w:tcBorders>
          <w:shd w:val="clear" w:color="auto" w:fill="FFFFFF" w:themeFill="background1"/>
          <w:tcMar>
            <w:left w:w="144" w:type="dxa"/>
            <w:right w:w="144" w:type="dxa"/>
          </w:tcMar>
        </w:tcPr>
        <w:p w:rsidR="00F23946" w:rsidRDefault="000F1179" w:rsidP="00282C1A">
          <w:pPr>
            <w:jc w:val="right"/>
          </w:pPr>
          <w:r w:rsidRPr="00551126">
            <w:rPr>
              <w:rFonts w:ascii="Arial" w:hAnsi="Arial" w:cs="Arial"/>
              <w:noProof/>
              <w:sz w:val="16"/>
              <w:szCs w:val="16"/>
              <w:lang w:val="en-GB" w:eastAsia="en-GB"/>
            </w:rPr>
            <w:drawing>
              <wp:inline distT="0" distB="0" distL="0" distR="0" wp14:anchorId="0E356159" wp14:editId="30E455DF">
                <wp:extent cx="964096" cy="274523"/>
                <wp:effectExtent l="0" t="0" r="7620" b="0"/>
                <wp:docPr id="6"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973653" cy="277244"/>
                        </a:xfrm>
                        <a:prstGeom prst="rect">
                          <a:avLst/>
                        </a:prstGeom>
                      </pic:spPr>
                    </pic:pic>
                  </a:graphicData>
                </a:graphic>
              </wp:inline>
            </w:drawing>
          </w:r>
        </w:p>
        <w:p w:rsidR="00F23946" w:rsidRPr="00551126" w:rsidRDefault="00F23946" w:rsidP="00F23946"/>
      </w:tc>
      <w:tc>
        <w:tcPr>
          <w:tcW w:w="5289" w:type="dxa"/>
          <w:tcBorders>
            <w:left w:val="single" w:sz="12" w:space="0" w:color="FFC000"/>
          </w:tcBorders>
          <w:shd w:val="clear" w:color="auto" w:fill="FFFFFF" w:themeFill="background1"/>
          <w:tcMar>
            <w:left w:w="144" w:type="dxa"/>
            <w:right w:w="144" w:type="dxa"/>
          </w:tcMar>
        </w:tcPr>
        <w:p w:rsidR="00F23946" w:rsidRPr="00146E6F" w:rsidRDefault="00F23946" w:rsidP="00F23946">
          <w:pPr>
            <w:rPr>
              <w:rFonts w:ascii="Tahoma" w:hAnsi="Tahoma" w:cs="Tahoma"/>
              <w:b/>
              <w:bCs/>
              <w:sz w:val="18"/>
              <w:szCs w:val="16"/>
              <w:lang w:val="es-ES"/>
            </w:rPr>
          </w:pPr>
          <w:r w:rsidRPr="00146E6F">
            <w:rPr>
              <w:rFonts w:ascii="Tahoma" w:hAnsi="Tahoma" w:cs="Tahoma"/>
              <w:b/>
              <w:bCs/>
              <w:sz w:val="18"/>
              <w:szCs w:val="16"/>
              <w:lang w:val="es-ES"/>
            </w:rPr>
            <w:t>REN21 Secretariat</w:t>
          </w:r>
        </w:p>
        <w:p w:rsidR="005C2C0B" w:rsidRPr="00146E6F" w:rsidRDefault="005C2C0B" w:rsidP="00F23946">
          <w:pPr>
            <w:rPr>
              <w:rFonts w:ascii="Tahoma" w:hAnsi="Tahoma" w:cs="Tahoma"/>
              <w:b/>
              <w:bCs/>
              <w:sz w:val="8"/>
              <w:szCs w:val="8"/>
              <w:lang w:val="es-ES"/>
            </w:rPr>
          </w:pPr>
        </w:p>
        <w:p w:rsidR="00F23946" w:rsidRPr="00146E6F" w:rsidRDefault="00E74411" w:rsidP="00F23946">
          <w:pPr>
            <w:rPr>
              <w:rFonts w:ascii="Tahoma" w:hAnsi="Tahoma" w:cs="Tahoma"/>
              <w:bCs/>
              <w:sz w:val="16"/>
              <w:szCs w:val="16"/>
              <w:lang w:val="es-ES"/>
            </w:rPr>
          </w:pPr>
          <w:r w:rsidRPr="00146E6F">
            <w:rPr>
              <w:rFonts w:ascii="Tahoma" w:hAnsi="Tahoma" w:cs="Tahoma"/>
              <w:bCs/>
              <w:sz w:val="16"/>
              <w:szCs w:val="16"/>
              <w:lang w:val="es-ES"/>
            </w:rPr>
            <w:t>c/o UN Environment</w:t>
          </w:r>
        </w:p>
        <w:p w:rsidR="005C2C0B" w:rsidRPr="00146E6F" w:rsidRDefault="005C2C0B" w:rsidP="00F23946">
          <w:pPr>
            <w:rPr>
              <w:rFonts w:ascii="Tahoma" w:hAnsi="Tahoma" w:cs="Tahoma"/>
              <w:bCs/>
              <w:sz w:val="8"/>
              <w:szCs w:val="8"/>
              <w:lang w:val="es-ES"/>
            </w:rPr>
          </w:pPr>
        </w:p>
        <w:p w:rsidR="00F23946" w:rsidRPr="00146E6F" w:rsidRDefault="00F23946" w:rsidP="00F23946">
          <w:pPr>
            <w:rPr>
              <w:rFonts w:ascii="Tahoma" w:hAnsi="Tahoma" w:cs="Tahoma"/>
              <w:bCs/>
              <w:sz w:val="16"/>
              <w:szCs w:val="16"/>
              <w:lang w:val="en-GB"/>
            </w:rPr>
          </w:pPr>
          <w:r w:rsidRPr="00146E6F">
            <w:rPr>
              <w:rFonts w:ascii="Tahoma" w:hAnsi="Tahoma" w:cs="Tahoma"/>
              <w:bCs/>
              <w:sz w:val="16"/>
              <w:szCs w:val="16"/>
              <w:lang w:val="en-GB"/>
            </w:rPr>
            <w:t>1</w:t>
          </w:r>
          <w:r w:rsidR="00AC5795" w:rsidRPr="00146E6F">
            <w:rPr>
              <w:rFonts w:ascii="Tahoma" w:hAnsi="Tahoma" w:cs="Tahoma"/>
              <w:bCs/>
              <w:sz w:val="16"/>
              <w:szCs w:val="16"/>
              <w:lang w:val="en-GB"/>
            </w:rPr>
            <w:t xml:space="preserve"> rue Miollis • Building VII </w:t>
          </w:r>
          <w:r w:rsidRPr="00146E6F">
            <w:rPr>
              <w:rFonts w:ascii="Tahoma" w:hAnsi="Tahoma" w:cs="Tahoma"/>
              <w:bCs/>
              <w:sz w:val="16"/>
              <w:szCs w:val="16"/>
              <w:lang w:val="en-GB"/>
            </w:rPr>
            <w:t xml:space="preserve">• </w:t>
          </w:r>
          <w:r w:rsidR="00AC5795" w:rsidRPr="00146E6F">
            <w:rPr>
              <w:rFonts w:ascii="Tahoma" w:hAnsi="Tahoma" w:cs="Tahoma"/>
              <w:bCs/>
              <w:sz w:val="16"/>
              <w:szCs w:val="16"/>
              <w:lang w:val="en-GB"/>
            </w:rPr>
            <w:t>75015 Pa</w:t>
          </w:r>
          <w:r w:rsidR="00763FC5" w:rsidRPr="00146E6F">
            <w:rPr>
              <w:rFonts w:ascii="Tahoma" w:hAnsi="Tahoma" w:cs="Tahoma"/>
              <w:bCs/>
              <w:sz w:val="16"/>
              <w:szCs w:val="16"/>
              <w:lang w:val="en-GB"/>
            </w:rPr>
            <w:t xml:space="preserve">ris </w:t>
          </w:r>
          <w:r w:rsidRPr="00146E6F">
            <w:rPr>
              <w:rFonts w:ascii="Tahoma" w:hAnsi="Tahoma" w:cs="Tahoma"/>
              <w:bCs/>
              <w:sz w:val="16"/>
              <w:szCs w:val="16"/>
              <w:lang w:val="en-GB"/>
            </w:rPr>
            <w:t>•</w:t>
          </w:r>
          <w:r w:rsidR="00AC5795" w:rsidRPr="00146E6F">
            <w:rPr>
              <w:rFonts w:ascii="Tahoma" w:hAnsi="Tahoma" w:cs="Tahoma"/>
              <w:bCs/>
              <w:sz w:val="16"/>
              <w:szCs w:val="16"/>
              <w:lang w:val="en-GB"/>
            </w:rPr>
            <w:t xml:space="preserve"> </w:t>
          </w:r>
          <w:r w:rsidRPr="00146E6F">
            <w:rPr>
              <w:rFonts w:ascii="Tahoma" w:hAnsi="Tahoma" w:cs="Tahoma"/>
              <w:bCs/>
              <w:sz w:val="16"/>
              <w:szCs w:val="16"/>
              <w:lang w:val="en-GB"/>
            </w:rPr>
            <w:t xml:space="preserve">France </w:t>
          </w:r>
        </w:p>
        <w:p w:rsidR="00F23946" w:rsidRPr="005C2C0B" w:rsidRDefault="00F23946" w:rsidP="00F23946">
          <w:pPr>
            <w:rPr>
              <w:rFonts w:ascii="Tahoma" w:hAnsi="Tahoma" w:cs="Tahoma"/>
              <w:bCs/>
              <w:sz w:val="16"/>
              <w:szCs w:val="16"/>
              <w:lang w:val="fr-FR"/>
            </w:rPr>
          </w:pPr>
          <w:r w:rsidRPr="005C2C0B">
            <w:rPr>
              <w:rFonts w:ascii="Tahoma" w:hAnsi="Tahoma" w:cs="Tahoma"/>
              <w:bCs/>
              <w:sz w:val="16"/>
              <w:szCs w:val="16"/>
              <w:lang w:val="fr-FR"/>
            </w:rPr>
            <w:t>Tel: +33 1 44 37 50 90 • Fax: +33 1 44 37 50 95</w:t>
          </w:r>
        </w:p>
        <w:p w:rsidR="00F23946" w:rsidRPr="00282C1A" w:rsidRDefault="00F23946" w:rsidP="00F23946">
          <w:pPr>
            <w:rPr>
              <w:rFonts w:ascii="Tahoma" w:hAnsi="Tahoma" w:cs="Tahoma"/>
              <w:bCs/>
              <w:sz w:val="18"/>
              <w:szCs w:val="16"/>
            </w:rPr>
          </w:pPr>
          <w:r w:rsidRPr="005C2C0B">
            <w:rPr>
              <w:rFonts w:ascii="Tahoma" w:hAnsi="Tahoma" w:cs="Tahoma"/>
              <w:bCs/>
              <w:sz w:val="16"/>
              <w:szCs w:val="16"/>
              <w:lang w:val="fr-FR"/>
            </w:rPr>
            <w:t>secretariat@ren21.net • www.</w:t>
          </w:r>
          <w:r w:rsidRPr="00156F43">
            <w:rPr>
              <w:rFonts w:ascii="Tahoma" w:hAnsi="Tahoma" w:cs="Tahoma"/>
              <w:bCs/>
              <w:sz w:val="16"/>
              <w:szCs w:val="16"/>
            </w:rPr>
            <w:t>ren21.net</w:t>
          </w:r>
          <w:r w:rsidRPr="00282C1A">
            <w:rPr>
              <w:rFonts w:ascii="Tahoma" w:hAnsi="Tahoma" w:cs="Tahoma"/>
              <w:bCs/>
              <w:sz w:val="18"/>
              <w:szCs w:val="16"/>
            </w:rPr>
            <w:t xml:space="preserve"> </w:t>
          </w:r>
        </w:p>
      </w:tc>
    </w:tr>
  </w:tbl>
  <w:p w:rsidR="00F23946" w:rsidRPr="0052639C" w:rsidRDefault="00F2394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68" w:rsidRDefault="00012168" w:rsidP="004B1806">
      <w:pPr>
        <w:spacing w:after="0" w:line="240" w:lineRule="auto"/>
      </w:pPr>
      <w:r>
        <w:separator/>
      </w:r>
    </w:p>
  </w:footnote>
  <w:footnote w:type="continuationSeparator" w:id="0">
    <w:p w:rsidR="00012168" w:rsidRDefault="00012168" w:rsidP="004B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90" w:rsidRDefault="00731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46" w:rsidRPr="004B1806" w:rsidRDefault="00F23946" w:rsidP="00E007DD">
    <w:pPr>
      <w:spacing w:after="0" w:line="240" w:lineRule="auto"/>
      <w:jc w:val="center"/>
      <w:rPr>
        <w:rFonts w:ascii="Tahoma" w:hAnsi="Tahoma" w:cs="Tahoma"/>
        <w:b/>
        <w:bCs/>
        <w:sz w:val="16"/>
        <w:szCs w:val="16"/>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46" w:rsidRDefault="00F23946" w:rsidP="00282C1A">
    <w:pPr>
      <w:pStyle w:val="Header"/>
      <w:jc w:val="center"/>
    </w:pPr>
    <w:r w:rsidRPr="004B1806">
      <w:rPr>
        <w:noProof/>
        <w:lang w:val="en-GB" w:eastAsia="en-GB"/>
      </w:rPr>
      <w:drawing>
        <wp:inline distT="0" distB="0" distL="0" distR="0" wp14:anchorId="3043C524" wp14:editId="32EECCD9">
          <wp:extent cx="2051437" cy="584139"/>
          <wp:effectExtent l="0" t="0" r="6350" b="6985"/>
          <wp:docPr id="3" name="Picture 0" descr="Logo_REN21_RG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21_RGB.png"/>
                  <pic:cNvPicPr/>
                </pic:nvPicPr>
                <pic:blipFill>
                  <a:blip r:embed="rId2" cstate="print"/>
                  <a:stretch>
                    <a:fillRect/>
                  </a:stretch>
                </pic:blipFill>
                <pic:spPr>
                  <a:xfrm>
                    <a:off x="0" y="0"/>
                    <a:ext cx="2075942" cy="5911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7BE"/>
    <w:multiLevelType w:val="hybridMultilevel"/>
    <w:tmpl w:val="77185D42"/>
    <w:lvl w:ilvl="0" w:tplc="5BC29AB8">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D84"/>
    <w:multiLevelType w:val="hybridMultilevel"/>
    <w:tmpl w:val="1ACA33E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7893051"/>
    <w:multiLevelType w:val="hybridMultilevel"/>
    <w:tmpl w:val="96A479DC"/>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0B3B012B"/>
    <w:multiLevelType w:val="hybridMultilevel"/>
    <w:tmpl w:val="EBA4712E"/>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15:restartNumberingAfterBreak="0">
    <w:nsid w:val="0C431462"/>
    <w:multiLevelType w:val="hybridMultilevel"/>
    <w:tmpl w:val="6CB87146"/>
    <w:lvl w:ilvl="0" w:tplc="5BC29AB8">
      <w:start w:val="31"/>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0FB131C"/>
    <w:multiLevelType w:val="hybridMultilevel"/>
    <w:tmpl w:val="BE347B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58A7372"/>
    <w:multiLevelType w:val="hybridMultilevel"/>
    <w:tmpl w:val="A22039A6"/>
    <w:lvl w:ilvl="0" w:tplc="0409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19266EA8"/>
    <w:multiLevelType w:val="hybridMultilevel"/>
    <w:tmpl w:val="CFF22AF0"/>
    <w:lvl w:ilvl="0" w:tplc="38AA21C2">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D6685"/>
    <w:multiLevelType w:val="hybridMultilevel"/>
    <w:tmpl w:val="91B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E63FA"/>
    <w:multiLevelType w:val="hybridMultilevel"/>
    <w:tmpl w:val="64884052"/>
    <w:lvl w:ilvl="0" w:tplc="5BC29AB8">
      <w:start w:val="31"/>
      <w:numFmt w:val="bullet"/>
      <w:lvlText w:val="-"/>
      <w:lvlJc w:val="left"/>
      <w:pPr>
        <w:ind w:left="1050" w:hanging="360"/>
      </w:pPr>
      <w:rPr>
        <w:rFonts w:ascii="Calibri" w:eastAsiaTheme="minorHAnsi" w:hAnsi="Calibri"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15:restartNumberingAfterBreak="0">
    <w:nsid w:val="26E6022F"/>
    <w:multiLevelType w:val="hybridMultilevel"/>
    <w:tmpl w:val="CB0C0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987B9B"/>
    <w:multiLevelType w:val="hybridMultilevel"/>
    <w:tmpl w:val="587C1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46526"/>
    <w:multiLevelType w:val="hybridMultilevel"/>
    <w:tmpl w:val="FB9AE4C6"/>
    <w:lvl w:ilvl="0" w:tplc="04090001">
      <w:start w:val="1"/>
      <w:numFmt w:val="bullet"/>
      <w:lvlText w:val=""/>
      <w:lvlJc w:val="left"/>
      <w:pPr>
        <w:ind w:left="360" w:hanging="360"/>
      </w:pPr>
      <w:rPr>
        <w:rFonts w:ascii="Symbol" w:hAnsi="Symbol"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15:restartNumberingAfterBreak="0">
    <w:nsid w:val="291D0431"/>
    <w:multiLevelType w:val="hybridMultilevel"/>
    <w:tmpl w:val="DB025F08"/>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3CE69C30">
      <w:numFmt w:val="bullet"/>
      <w:lvlText w:val="-"/>
      <w:lvlJc w:val="left"/>
      <w:pPr>
        <w:ind w:left="3600" w:hanging="360"/>
      </w:pPr>
      <w:rPr>
        <w:rFonts w:ascii="Times New Roman" w:eastAsia="SimSun" w:hAnsi="Times New Roma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C78EF"/>
    <w:multiLevelType w:val="hybridMultilevel"/>
    <w:tmpl w:val="95BAAD98"/>
    <w:lvl w:ilvl="0" w:tplc="3B78B2DA">
      <w:start w:val="1"/>
      <w:numFmt w:val="lowerRoman"/>
      <w:lvlText w:val="%1."/>
      <w:lvlJc w:val="left"/>
      <w:pPr>
        <w:ind w:left="360" w:hanging="360"/>
      </w:pPr>
      <w:rPr>
        <w:b w:val="0"/>
      </w:rPr>
    </w:lvl>
    <w:lvl w:ilvl="1" w:tplc="2D2679D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D2794"/>
    <w:multiLevelType w:val="hybridMultilevel"/>
    <w:tmpl w:val="1B1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24A19"/>
    <w:multiLevelType w:val="hybridMultilevel"/>
    <w:tmpl w:val="C4E657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A1C5C"/>
    <w:multiLevelType w:val="hybridMultilevel"/>
    <w:tmpl w:val="399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627A28"/>
    <w:multiLevelType w:val="hybridMultilevel"/>
    <w:tmpl w:val="3F900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9B6B38"/>
    <w:multiLevelType w:val="hybridMultilevel"/>
    <w:tmpl w:val="0C12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E456A2"/>
    <w:multiLevelType w:val="hybridMultilevel"/>
    <w:tmpl w:val="8270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E45C3"/>
    <w:multiLevelType w:val="hybridMultilevel"/>
    <w:tmpl w:val="50F2B6AE"/>
    <w:lvl w:ilvl="0" w:tplc="E4B6C556">
      <w:start w:val="1"/>
      <w:numFmt w:val="lowerRoman"/>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3F129E"/>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CDE528C"/>
    <w:multiLevelType w:val="hybridMultilevel"/>
    <w:tmpl w:val="09CC1A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72827"/>
    <w:multiLevelType w:val="hybridMultilevel"/>
    <w:tmpl w:val="59B4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542E0"/>
    <w:multiLevelType w:val="hybridMultilevel"/>
    <w:tmpl w:val="7924F240"/>
    <w:lvl w:ilvl="0" w:tplc="38AA21C2">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25165"/>
    <w:multiLevelType w:val="hybridMultilevel"/>
    <w:tmpl w:val="CE92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41640"/>
    <w:multiLevelType w:val="hybridMultilevel"/>
    <w:tmpl w:val="655C14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1655B4C"/>
    <w:multiLevelType w:val="hybridMultilevel"/>
    <w:tmpl w:val="548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406F0"/>
    <w:multiLevelType w:val="hybridMultilevel"/>
    <w:tmpl w:val="997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D44CB2"/>
    <w:multiLevelType w:val="hybridMultilevel"/>
    <w:tmpl w:val="F0C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C6910"/>
    <w:multiLevelType w:val="hybridMultilevel"/>
    <w:tmpl w:val="D3BA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2445"/>
    <w:multiLevelType w:val="hybridMultilevel"/>
    <w:tmpl w:val="A73E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91089D"/>
    <w:multiLevelType w:val="hybridMultilevel"/>
    <w:tmpl w:val="2466BA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4" w15:restartNumberingAfterBreak="0">
    <w:nsid w:val="660C2632"/>
    <w:multiLevelType w:val="multilevel"/>
    <w:tmpl w:val="F846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210D76"/>
    <w:multiLevelType w:val="hybridMultilevel"/>
    <w:tmpl w:val="131C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77516"/>
    <w:multiLevelType w:val="hybridMultilevel"/>
    <w:tmpl w:val="25D48126"/>
    <w:lvl w:ilvl="0" w:tplc="04090001">
      <w:start w:val="1"/>
      <w:numFmt w:val="bullet"/>
      <w:lvlText w:val=""/>
      <w:lvlJc w:val="left"/>
      <w:pPr>
        <w:ind w:left="360" w:hanging="360"/>
      </w:pPr>
      <w:rPr>
        <w:rFonts w:ascii="Symbol" w:hAnsi="Symbol" w:hint="default"/>
        <w:b/>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7" w15:restartNumberingAfterBreak="0">
    <w:nsid w:val="6AF61EF4"/>
    <w:multiLevelType w:val="hybridMultilevel"/>
    <w:tmpl w:val="409041D8"/>
    <w:lvl w:ilvl="0" w:tplc="468CB836">
      <w:start w:val="1"/>
      <w:numFmt w:val="bullet"/>
      <w:lvlText w:val=""/>
      <w:lvlJc w:val="left"/>
      <w:pPr>
        <w:tabs>
          <w:tab w:val="num" w:pos="720"/>
        </w:tabs>
        <w:ind w:left="720" w:hanging="360"/>
      </w:pPr>
      <w:rPr>
        <w:rFonts w:ascii="Wingdings" w:hAnsi="Wingdings" w:hint="default"/>
      </w:rPr>
    </w:lvl>
    <w:lvl w:ilvl="1" w:tplc="723AB8B8" w:tentative="1">
      <w:start w:val="1"/>
      <w:numFmt w:val="bullet"/>
      <w:lvlText w:val=""/>
      <w:lvlJc w:val="left"/>
      <w:pPr>
        <w:tabs>
          <w:tab w:val="num" w:pos="1440"/>
        </w:tabs>
        <w:ind w:left="1440" w:hanging="360"/>
      </w:pPr>
      <w:rPr>
        <w:rFonts w:ascii="Wingdings" w:hAnsi="Wingdings" w:hint="default"/>
      </w:rPr>
    </w:lvl>
    <w:lvl w:ilvl="2" w:tplc="1C90FF3C" w:tentative="1">
      <w:start w:val="1"/>
      <w:numFmt w:val="bullet"/>
      <w:lvlText w:val=""/>
      <w:lvlJc w:val="left"/>
      <w:pPr>
        <w:tabs>
          <w:tab w:val="num" w:pos="2160"/>
        </w:tabs>
        <w:ind w:left="2160" w:hanging="360"/>
      </w:pPr>
      <w:rPr>
        <w:rFonts w:ascii="Wingdings" w:hAnsi="Wingdings" w:hint="default"/>
      </w:rPr>
    </w:lvl>
    <w:lvl w:ilvl="3" w:tplc="5C6AEB10" w:tentative="1">
      <w:start w:val="1"/>
      <w:numFmt w:val="bullet"/>
      <w:lvlText w:val=""/>
      <w:lvlJc w:val="left"/>
      <w:pPr>
        <w:tabs>
          <w:tab w:val="num" w:pos="2880"/>
        </w:tabs>
        <w:ind w:left="2880" w:hanging="360"/>
      </w:pPr>
      <w:rPr>
        <w:rFonts w:ascii="Wingdings" w:hAnsi="Wingdings" w:hint="default"/>
      </w:rPr>
    </w:lvl>
    <w:lvl w:ilvl="4" w:tplc="71B24EC0" w:tentative="1">
      <w:start w:val="1"/>
      <w:numFmt w:val="bullet"/>
      <w:lvlText w:val=""/>
      <w:lvlJc w:val="left"/>
      <w:pPr>
        <w:tabs>
          <w:tab w:val="num" w:pos="3600"/>
        </w:tabs>
        <w:ind w:left="3600" w:hanging="360"/>
      </w:pPr>
      <w:rPr>
        <w:rFonts w:ascii="Wingdings" w:hAnsi="Wingdings" w:hint="default"/>
      </w:rPr>
    </w:lvl>
    <w:lvl w:ilvl="5" w:tplc="A3CE8E8A" w:tentative="1">
      <w:start w:val="1"/>
      <w:numFmt w:val="bullet"/>
      <w:lvlText w:val=""/>
      <w:lvlJc w:val="left"/>
      <w:pPr>
        <w:tabs>
          <w:tab w:val="num" w:pos="4320"/>
        </w:tabs>
        <w:ind w:left="4320" w:hanging="360"/>
      </w:pPr>
      <w:rPr>
        <w:rFonts w:ascii="Wingdings" w:hAnsi="Wingdings" w:hint="default"/>
      </w:rPr>
    </w:lvl>
    <w:lvl w:ilvl="6" w:tplc="B7805C3A" w:tentative="1">
      <w:start w:val="1"/>
      <w:numFmt w:val="bullet"/>
      <w:lvlText w:val=""/>
      <w:lvlJc w:val="left"/>
      <w:pPr>
        <w:tabs>
          <w:tab w:val="num" w:pos="5040"/>
        </w:tabs>
        <w:ind w:left="5040" w:hanging="360"/>
      </w:pPr>
      <w:rPr>
        <w:rFonts w:ascii="Wingdings" w:hAnsi="Wingdings" w:hint="default"/>
      </w:rPr>
    </w:lvl>
    <w:lvl w:ilvl="7" w:tplc="8744A0E0" w:tentative="1">
      <w:start w:val="1"/>
      <w:numFmt w:val="bullet"/>
      <w:lvlText w:val=""/>
      <w:lvlJc w:val="left"/>
      <w:pPr>
        <w:tabs>
          <w:tab w:val="num" w:pos="5760"/>
        </w:tabs>
        <w:ind w:left="5760" w:hanging="360"/>
      </w:pPr>
      <w:rPr>
        <w:rFonts w:ascii="Wingdings" w:hAnsi="Wingdings" w:hint="default"/>
      </w:rPr>
    </w:lvl>
    <w:lvl w:ilvl="8" w:tplc="59F2154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627F7"/>
    <w:multiLevelType w:val="multilevel"/>
    <w:tmpl w:val="B8AE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971159"/>
    <w:multiLevelType w:val="hybridMultilevel"/>
    <w:tmpl w:val="6C08DBEC"/>
    <w:lvl w:ilvl="0" w:tplc="04090003">
      <w:start w:val="1"/>
      <w:numFmt w:val="low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3C39AD"/>
    <w:multiLevelType w:val="hybridMultilevel"/>
    <w:tmpl w:val="C59CA22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5C545D6"/>
    <w:multiLevelType w:val="hybridMultilevel"/>
    <w:tmpl w:val="F56A6F30"/>
    <w:lvl w:ilvl="0" w:tplc="DEB09D40">
      <w:start w:val="1"/>
      <w:numFmt w:val="lowerRoman"/>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A5468B"/>
    <w:multiLevelType w:val="hybridMultilevel"/>
    <w:tmpl w:val="0D167FE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34"/>
  </w:num>
  <w:num w:numId="3">
    <w:abstractNumId w:val="35"/>
  </w:num>
  <w:num w:numId="4">
    <w:abstractNumId w:val="30"/>
  </w:num>
  <w:num w:numId="5">
    <w:abstractNumId w:val="6"/>
  </w:num>
  <w:num w:numId="6">
    <w:abstractNumId w:val="33"/>
  </w:num>
  <w:num w:numId="7">
    <w:abstractNumId w:val="25"/>
  </w:num>
  <w:num w:numId="8">
    <w:abstractNumId w:val="7"/>
  </w:num>
  <w:num w:numId="9">
    <w:abstractNumId w:val="32"/>
  </w:num>
  <w:num w:numId="10">
    <w:abstractNumId w:val="29"/>
  </w:num>
  <w:num w:numId="11">
    <w:abstractNumId w:val="16"/>
  </w:num>
  <w:num w:numId="12">
    <w:abstractNumId w:val="41"/>
  </w:num>
  <w:num w:numId="13">
    <w:abstractNumId w:val="21"/>
  </w:num>
  <w:num w:numId="14">
    <w:abstractNumId w:val="14"/>
  </w:num>
  <w:num w:numId="15">
    <w:abstractNumId w:val="39"/>
  </w:num>
  <w:num w:numId="16">
    <w:abstractNumId w:val="11"/>
  </w:num>
  <w:num w:numId="17">
    <w:abstractNumId w:val="20"/>
  </w:num>
  <w:num w:numId="18">
    <w:abstractNumId w:val="28"/>
  </w:num>
  <w:num w:numId="19">
    <w:abstractNumId w:val="15"/>
  </w:num>
  <w:num w:numId="20">
    <w:abstractNumId w:val="13"/>
  </w:num>
  <w:num w:numId="21">
    <w:abstractNumId w:val="18"/>
  </w:num>
  <w:num w:numId="22">
    <w:abstractNumId w:val="0"/>
  </w:num>
  <w:num w:numId="23">
    <w:abstractNumId w:val="9"/>
  </w:num>
  <w:num w:numId="24">
    <w:abstractNumId w:val="4"/>
  </w:num>
  <w:num w:numId="25">
    <w:abstractNumId w:val="40"/>
  </w:num>
  <w:num w:numId="26">
    <w:abstractNumId w:val="23"/>
  </w:num>
  <w:num w:numId="27">
    <w:abstractNumId w:val="1"/>
  </w:num>
  <w:num w:numId="28">
    <w:abstractNumId w:val="5"/>
  </w:num>
  <w:num w:numId="29">
    <w:abstractNumId w:val="17"/>
  </w:num>
  <w:num w:numId="30">
    <w:abstractNumId w:val="10"/>
  </w:num>
  <w:num w:numId="31">
    <w:abstractNumId w:val="19"/>
  </w:num>
  <w:num w:numId="32">
    <w:abstractNumId w:val="22"/>
  </w:num>
  <w:num w:numId="33">
    <w:abstractNumId w:val="3"/>
  </w:num>
  <w:num w:numId="34">
    <w:abstractNumId w:val="36"/>
  </w:num>
  <w:num w:numId="35">
    <w:abstractNumId w:val="2"/>
  </w:num>
  <w:num w:numId="36">
    <w:abstractNumId w:val="12"/>
  </w:num>
  <w:num w:numId="37">
    <w:abstractNumId w:val="27"/>
  </w:num>
  <w:num w:numId="38">
    <w:abstractNumId w:val="26"/>
  </w:num>
  <w:num w:numId="39">
    <w:abstractNumId w:val="37"/>
  </w:num>
  <w:num w:numId="40">
    <w:abstractNumId w:val="8"/>
  </w:num>
  <w:num w:numId="41">
    <w:abstractNumId w:val="24"/>
  </w:num>
  <w:num w:numId="42">
    <w:abstractNumId w:val="4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81"/>
    <w:rsid w:val="00005AB5"/>
    <w:rsid w:val="00012168"/>
    <w:rsid w:val="00050D1D"/>
    <w:rsid w:val="00073413"/>
    <w:rsid w:val="0008350A"/>
    <w:rsid w:val="000A1E8C"/>
    <w:rsid w:val="000B6B32"/>
    <w:rsid w:val="000F1179"/>
    <w:rsid w:val="00112268"/>
    <w:rsid w:val="001135CC"/>
    <w:rsid w:val="0012787B"/>
    <w:rsid w:val="00132363"/>
    <w:rsid w:val="001333DE"/>
    <w:rsid w:val="0014327E"/>
    <w:rsid w:val="00146E6F"/>
    <w:rsid w:val="00153C8C"/>
    <w:rsid w:val="00155AC0"/>
    <w:rsid w:val="00156F43"/>
    <w:rsid w:val="00191F19"/>
    <w:rsid w:val="001A13CE"/>
    <w:rsid w:val="001B5B94"/>
    <w:rsid w:val="001D0C1D"/>
    <w:rsid w:val="001D5291"/>
    <w:rsid w:val="001E61F0"/>
    <w:rsid w:val="001F504A"/>
    <w:rsid w:val="002031A7"/>
    <w:rsid w:val="002305A9"/>
    <w:rsid w:val="00244C62"/>
    <w:rsid w:val="00282C1A"/>
    <w:rsid w:val="0029627A"/>
    <w:rsid w:val="002E179C"/>
    <w:rsid w:val="00302533"/>
    <w:rsid w:val="003C03F1"/>
    <w:rsid w:val="003C4659"/>
    <w:rsid w:val="003D377F"/>
    <w:rsid w:val="00427A50"/>
    <w:rsid w:val="00443C3F"/>
    <w:rsid w:val="004547CF"/>
    <w:rsid w:val="004A239C"/>
    <w:rsid w:val="004B1806"/>
    <w:rsid w:val="004D5C3A"/>
    <w:rsid w:val="00514A15"/>
    <w:rsid w:val="0052639C"/>
    <w:rsid w:val="00550178"/>
    <w:rsid w:val="00551126"/>
    <w:rsid w:val="00562700"/>
    <w:rsid w:val="00562E44"/>
    <w:rsid w:val="00570687"/>
    <w:rsid w:val="00584141"/>
    <w:rsid w:val="00585CA6"/>
    <w:rsid w:val="005A23F9"/>
    <w:rsid w:val="005B0BF4"/>
    <w:rsid w:val="005C2C0B"/>
    <w:rsid w:val="00611F35"/>
    <w:rsid w:val="0064377B"/>
    <w:rsid w:val="007036F7"/>
    <w:rsid w:val="00711E60"/>
    <w:rsid w:val="007318F0"/>
    <w:rsid w:val="00731B90"/>
    <w:rsid w:val="00736F66"/>
    <w:rsid w:val="00737891"/>
    <w:rsid w:val="00763FC5"/>
    <w:rsid w:val="00776EAD"/>
    <w:rsid w:val="0079029D"/>
    <w:rsid w:val="007A1327"/>
    <w:rsid w:val="007A4DB9"/>
    <w:rsid w:val="00817771"/>
    <w:rsid w:val="008239B9"/>
    <w:rsid w:val="00833C9C"/>
    <w:rsid w:val="008D30AF"/>
    <w:rsid w:val="008F1B81"/>
    <w:rsid w:val="00902C99"/>
    <w:rsid w:val="00920614"/>
    <w:rsid w:val="00947F91"/>
    <w:rsid w:val="00966229"/>
    <w:rsid w:val="009B580E"/>
    <w:rsid w:val="009C314C"/>
    <w:rsid w:val="00A2015A"/>
    <w:rsid w:val="00A36660"/>
    <w:rsid w:val="00A50EFD"/>
    <w:rsid w:val="00A75909"/>
    <w:rsid w:val="00AC1323"/>
    <w:rsid w:val="00AC5795"/>
    <w:rsid w:val="00AD4C7B"/>
    <w:rsid w:val="00AF6E8C"/>
    <w:rsid w:val="00B207BD"/>
    <w:rsid w:val="00B62BA8"/>
    <w:rsid w:val="00B80668"/>
    <w:rsid w:val="00B8266E"/>
    <w:rsid w:val="00BB055B"/>
    <w:rsid w:val="00C521A8"/>
    <w:rsid w:val="00CA438C"/>
    <w:rsid w:val="00CB7790"/>
    <w:rsid w:val="00CE6FA9"/>
    <w:rsid w:val="00CE755E"/>
    <w:rsid w:val="00D45E84"/>
    <w:rsid w:val="00D70CEF"/>
    <w:rsid w:val="00D81CDE"/>
    <w:rsid w:val="00D90D05"/>
    <w:rsid w:val="00DA14E3"/>
    <w:rsid w:val="00DD4F39"/>
    <w:rsid w:val="00DF7803"/>
    <w:rsid w:val="00E007DD"/>
    <w:rsid w:val="00E24D21"/>
    <w:rsid w:val="00E33F0B"/>
    <w:rsid w:val="00E37A36"/>
    <w:rsid w:val="00E5498E"/>
    <w:rsid w:val="00E74411"/>
    <w:rsid w:val="00EA1B23"/>
    <w:rsid w:val="00EA55E2"/>
    <w:rsid w:val="00EE1FAC"/>
    <w:rsid w:val="00F0047E"/>
    <w:rsid w:val="00F23946"/>
    <w:rsid w:val="00F42C0A"/>
    <w:rsid w:val="00F43693"/>
    <w:rsid w:val="00F47E91"/>
    <w:rsid w:val="00F56B97"/>
    <w:rsid w:val="00F65462"/>
    <w:rsid w:val="00F7275A"/>
    <w:rsid w:val="00F84489"/>
    <w:rsid w:val="00F90FAB"/>
    <w:rsid w:val="00FF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48D62-0410-4473-922E-6FB98E5A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1F504A"/>
    <w:pPr>
      <w:keepNext/>
      <w:keepLines/>
      <w:spacing w:before="480" w:after="0"/>
      <w:jc w:val="both"/>
      <w:outlineLvl w:val="0"/>
    </w:pPr>
    <w:rPr>
      <w:rFonts w:ascii="Tahoma" w:eastAsia="Times New Roman" w:hAnsi="Tahoma" w:cs="Times New Roman"/>
      <w:b/>
      <w:bCs/>
      <w:sz w:val="28"/>
      <w:szCs w:val="28"/>
      <w:lang w:val="en-GB"/>
    </w:rPr>
  </w:style>
  <w:style w:type="paragraph" w:styleId="Heading3">
    <w:name w:val="heading 3"/>
    <w:basedOn w:val="Normal"/>
    <w:next w:val="Normal"/>
    <w:link w:val="Heading3Char"/>
    <w:rsid w:val="00550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81"/>
    <w:rPr>
      <w:rFonts w:ascii="Tahoma" w:hAnsi="Tahoma" w:cs="Tahoma"/>
      <w:sz w:val="16"/>
      <w:szCs w:val="16"/>
      <w:lang w:val="en-GB"/>
    </w:rPr>
  </w:style>
  <w:style w:type="table" w:styleId="TableGrid">
    <w:name w:val="Table Grid"/>
    <w:basedOn w:val="TableNormal"/>
    <w:uiPriority w:val="59"/>
    <w:rsid w:val="0073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8F0"/>
    <w:rPr>
      <w:color w:val="0000FF" w:themeColor="hyperlink"/>
      <w:u w:val="single"/>
    </w:rPr>
  </w:style>
  <w:style w:type="paragraph" w:styleId="Header">
    <w:name w:val="header"/>
    <w:basedOn w:val="Normal"/>
    <w:link w:val="HeaderChar"/>
    <w:uiPriority w:val="99"/>
    <w:unhideWhenUsed/>
    <w:rsid w:val="004B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06"/>
    <w:rPr>
      <w:lang w:val="en-GB"/>
    </w:rPr>
  </w:style>
  <w:style w:type="paragraph" w:styleId="Footer">
    <w:name w:val="footer"/>
    <w:basedOn w:val="Normal"/>
    <w:link w:val="FooterChar"/>
    <w:uiPriority w:val="99"/>
    <w:unhideWhenUsed/>
    <w:rsid w:val="004B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06"/>
    <w:rPr>
      <w:lang w:val="en-GB"/>
    </w:rPr>
  </w:style>
  <w:style w:type="paragraph" w:styleId="ListParagraph">
    <w:name w:val="List Paragraph"/>
    <w:basedOn w:val="Normal"/>
    <w:uiPriority w:val="99"/>
    <w:qFormat/>
    <w:rsid w:val="00282C1A"/>
    <w:pPr>
      <w:ind w:left="720"/>
      <w:contextualSpacing/>
    </w:pPr>
  </w:style>
  <w:style w:type="character" w:customStyle="1" w:styleId="Heading3Char">
    <w:name w:val="Heading 3 Char"/>
    <w:basedOn w:val="DefaultParagraphFont"/>
    <w:link w:val="Heading3"/>
    <w:rsid w:val="00550178"/>
    <w:rPr>
      <w:rFonts w:asciiTheme="majorHAnsi" w:eastAsiaTheme="majorEastAsia" w:hAnsiTheme="majorHAnsi" w:cstheme="majorBidi"/>
      <w:b/>
      <w:bCs/>
      <w:color w:val="4F81BD" w:themeColor="accent1"/>
    </w:rPr>
  </w:style>
  <w:style w:type="character" w:customStyle="1" w:styleId="awc-39746364">
    <w:name w:val="awc-39746364"/>
    <w:basedOn w:val="DefaultParagraphFont"/>
    <w:rsid w:val="00550178"/>
  </w:style>
  <w:style w:type="character" w:styleId="CommentReference">
    <w:name w:val="annotation reference"/>
    <w:basedOn w:val="DefaultParagraphFont"/>
    <w:uiPriority w:val="99"/>
    <w:semiHidden/>
    <w:unhideWhenUsed/>
    <w:rsid w:val="001135CC"/>
    <w:rPr>
      <w:sz w:val="16"/>
      <w:szCs w:val="16"/>
    </w:rPr>
  </w:style>
  <w:style w:type="paragraph" w:styleId="CommentText">
    <w:name w:val="annotation text"/>
    <w:basedOn w:val="Normal"/>
    <w:link w:val="CommentTextChar"/>
    <w:uiPriority w:val="99"/>
    <w:unhideWhenUsed/>
    <w:rsid w:val="001135CC"/>
    <w:pPr>
      <w:spacing w:line="240" w:lineRule="auto"/>
    </w:pPr>
    <w:rPr>
      <w:sz w:val="20"/>
      <w:szCs w:val="20"/>
    </w:rPr>
  </w:style>
  <w:style w:type="character" w:customStyle="1" w:styleId="CommentTextChar">
    <w:name w:val="Comment Text Char"/>
    <w:basedOn w:val="DefaultParagraphFont"/>
    <w:link w:val="CommentText"/>
    <w:uiPriority w:val="99"/>
    <w:rsid w:val="001135CC"/>
    <w:rPr>
      <w:sz w:val="20"/>
      <w:szCs w:val="20"/>
    </w:rPr>
  </w:style>
  <w:style w:type="paragraph" w:styleId="CommentSubject">
    <w:name w:val="annotation subject"/>
    <w:basedOn w:val="CommentText"/>
    <w:next w:val="CommentText"/>
    <w:link w:val="CommentSubjectChar"/>
    <w:uiPriority w:val="99"/>
    <w:semiHidden/>
    <w:unhideWhenUsed/>
    <w:rsid w:val="001135CC"/>
    <w:rPr>
      <w:b/>
      <w:bCs/>
    </w:rPr>
  </w:style>
  <w:style w:type="character" w:customStyle="1" w:styleId="CommentSubjectChar">
    <w:name w:val="Comment Subject Char"/>
    <w:basedOn w:val="CommentTextChar"/>
    <w:link w:val="CommentSubject"/>
    <w:uiPriority w:val="99"/>
    <w:semiHidden/>
    <w:rsid w:val="001135CC"/>
    <w:rPr>
      <w:b/>
      <w:bCs/>
      <w:sz w:val="20"/>
      <w:szCs w:val="20"/>
    </w:rPr>
  </w:style>
  <w:style w:type="paragraph" w:customStyle="1" w:styleId="Default">
    <w:name w:val="Default"/>
    <w:basedOn w:val="Normal"/>
    <w:rsid w:val="00F43693"/>
    <w:pPr>
      <w:autoSpaceDE w:val="0"/>
      <w:autoSpaceDN w:val="0"/>
      <w:spacing w:after="0" w:line="240" w:lineRule="auto"/>
    </w:pPr>
    <w:rPr>
      <w:rFonts w:ascii="Calibri" w:eastAsiaTheme="minorHAnsi" w:hAnsi="Calibri" w:cs="Times New Roman"/>
      <w:color w:val="000000"/>
      <w:sz w:val="24"/>
      <w:szCs w:val="24"/>
    </w:rPr>
  </w:style>
  <w:style w:type="character" w:customStyle="1" w:styleId="Heading1Char">
    <w:name w:val="Heading 1 Char"/>
    <w:basedOn w:val="DefaultParagraphFont"/>
    <w:link w:val="Heading1"/>
    <w:uiPriority w:val="99"/>
    <w:rsid w:val="001F504A"/>
    <w:rPr>
      <w:rFonts w:ascii="Tahoma" w:eastAsia="Times New Roman" w:hAnsi="Tahoma" w:cs="Times New Roman"/>
      <w:b/>
      <w:bCs/>
      <w:sz w:val="28"/>
      <w:szCs w:val="28"/>
      <w:lang w:val="en-GB"/>
    </w:rPr>
  </w:style>
  <w:style w:type="paragraph" w:styleId="Title">
    <w:name w:val="Title"/>
    <w:basedOn w:val="Normal"/>
    <w:next w:val="Normal"/>
    <w:link w:val="TitleChar"/>
    <w:uiPriority w:val="99"/>
    <w:qFormat/>
    <w:rsid w:val="001F504A"/>
    <w:pPr>
      <w:pBdr>
        <w:bottom w:val="single" w:sz="8" w:space="4" w:color="FFC000"/>
      </w:pBdr>
      <w:spacing w:after="300" w:line="240" w:lineRule="auto"/>
      <w:contextualSpacing/>
      <w:jc w:val="both"/>
    </w:pPr>
    <w:rPr>
      <w:rFonts w:ascii="Tahoma" w:eastAsia="Times New Roman" w:hAnsi="Tahoma" w:cs="Times New Roman"/>
      <w:spacing w:val="5"/>
      <w:kern w:val="28"/>
      <w:sz w:val="52"/>
      <w:szCs w:val="52"/>
      <w:lang w:val="en-GB"/>
    </w:rPr>
  </w:style>
  <w:style w:type="character" w:customStyle="1" w:styleId="TitleChar">
    <w:name w:val="Title Char"/>
    <w:basedOn w:val="DefaultParagraphFont"/>
    <w:link w:val="Title"/>
    <w:uiPriority w:val="99"/>
    <w:rsid w:val="001F504A"/>
    <w:rPr>
      <w:rFonts w:ascii="Tahoma" w:eastAsia="Times New Roman" w:hAnsi="Tahoma" w:cs="Times New Roman"/>
      <w:spacing w:val="5"/>
      <w:kern w:val="28"/>
      <w:sz w:val="52"/>
      <w:szCs w:val="52"/>
      <w:lang w:val="en-GB"/>
    </w:rPr>
  </w:style>
  <w:style w:type="paragraph" w:styleId="Subtitle">
    <w:name w:val="Subtitle"/>
    <w:basedOn w:val="Normal"/>
    <w:next w:val="Normal"/>
    <w:link w:val="SubtitleChar"/>
    <w:uiPriority w:val="99"/>
    <w:qFormat/>
    <w:rsid w:val="001F504A"/>
    <w:pPr>
      <w:numPr>
        <w:ilvl w:val="1"/>
      </w:numPr>
      <w:jc w:val="both"/>
    </w:pPr>
    <w:rPr>
      <w:rFonts w:ascii="Tahoma" w:eastAsia="Times New Roman" w:hAnsi="Tahoma" w:cs="Times New Roman"/>
      <w:i/>
      <w:iCs/>
      <w:color w:val="808080"/>
      <w:spacing w:val="15"/>
      <w:sz w:val="24"/>
      <w:szCs w:val="24"/>
      <w:lang w:val="en-GB"/>
    </w:rPr>
  </w:style>
  <w:style w:type="character" w:customStyle="1" w:styleId="SubtitleChar">
    <w:name w:val="Subtitle Char"/>
    <w:basedOn w:val="DefaultParagraphFont"/>
    <w:link w:val="Subtitle"/>
    <w:uiPriority w:val="99"/>
    <w:rsid w:val="001F504A"/>
    <w:rPr>
      <w:rFonts w:ascii="Tahoma" w:eastAsia="Times New Roman" w:hAnsi="Tahoma" w:cs="Times New Roman"/>
      <w:i/>
      <w:iCs/>
      <w:color w:val="808080"/>
      <w:spacing w:val="15"/>
      <w:sz w:val="24"/>
      <w:szCs w:val="24"/>
      <w:lang w:val="en-GB"/>
    </w:rPr>
  </w:style>
  <w:style w:type="paragraph" w:customStyle="1" w:styleId="BodyA">
    <w:name w:val="Body A"/>
    <w:rsid w:val="00146E6F"/>
    <w:pPr>
      <w:pBdr>
        <w:top w:val="nil"/>
        <w:left w:val="nil"/>
        <w:bottom w:val="nil"/>
        <w:right w:val="nil"/>
        <w:between w:val="nil"/>
        <w:bar w:val="nil"/>
      </w:pBdr>
    </w:pPr>
    <w:rPr>
      <w:rFonts w:ascii="Calibri" w:eastAsia="Arial Unicode MS" w:hAnsi="Arial Unicode MS" w:cs="Arial Unicode MS"/>
      <w:color w:val="000000"/>
      <w:u w:color="000000"/>
      <w:bdr w:val="nil"/>
      <w:lang w:val="es-ES_tradnl" w:eastAsia="de-DE"/>
    </w:rPr>
  </w:style>
  <w:style w:type="character" w:styleId="FollowedHyperlink">
    <w:name w:val="FollowedHyperlink"/>
    <w:basedOn w:val="DefaultParagraphFont"/>
    <w:uiPriority w:val="99"/>
    <w:semiHidden/>
    <w:unhideWhenUsed/>
    <w:rsid w:val="007A1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215">
      <w:bodyDiv w:val="1"/>
      <w:marLeft w:val="0"/>
      <w:marRight w:val="0"/>
      <w:marTop w:val="0"/>
      <w:marBottom w:val="0"/>
      <w:divBdr>
        <w:top w:val="none" w:sz="0" w:space="0" w:color="auto"/>
        <w:left w:val="none" w:sz="0" w:space="0" w:color="auto"/>
        <w:bottom w:val="none" w:sz="0" w:space="0" w:color="auto"/>
        <w:right w:val="none" w:sz="0" w:space="0" w:color="auto"/>
      </w:divBdr>
    </w:div>
    <w:div w:id="233976726">
      <w:bodyDiv w:val="1"/>
      <w:marLeft w:val="0"/>
      <w:marRight w:val="0"/>
      <w:marTop w:val="0"/>
      <w:marBottom w:val="0"/>
      <w:divBdr>
        <w:top w:val="none" w:sz="0" w:space="0" w:color="auto"/>
        <w:left w:val="none" w:sz="0" w:space="0" w:color="auto"/>
        <w:bottom w:val="none" w:sz="0" w:space="0" w:color="auto"/>
        <w:right w:val="none" w:sz="0" w:space="0" w:color="auto"/>
      </w:divBdr>
    </w:div>
    <w:div w:id="501746362">
      <w:bodyDiv w:val="1"/>
      <w:marLeft w:val="0"/>
      <w:marRight w:val="0"/>
      <w:marTop w:val="0"/>
      <w:marBottom w:val="0"/>
      <w:divBdr>
        <w:top w:val="none" w:sz="0" w:space="0" w:color="auto"/>
        <w:left w:val="none" w:sz="0" w:space="0" w:color="auto"/>
        <w:bottom w:val="none" w:sz="0" w:space="0" w:color="auto"/>
        <w:right w:val="none" w:sz="0" w:space="0" w:color="auto"/>
      </w:divBdr>
    </w:div>
    <w:div w:id="639923366">
      <w:bodyDiv w:val="1"/>
      <w:marLeft w:val="0"/>
      <w:marRight w:val="0"/>
      <w:marTop w:val="0"/>
      <w:marBottom w:val="0"/>
      <w:divBdr>
        <w:top w:val="none" w:sz="0" w:space="0" w:color="auto"/>
        <w:left w:val="none" w:sz="0" w:space="0" w:color="auto"/>
        <w:bottom w:val="none" w:sz="0" w:space="0" w:color="auto"/>
        <w:right w:val="none" w:sz="0" w:space="0" w:color="auto"/>
      </w:divBdr>
    </w:div>
    <w:div w:id="989597984">
      <w:bodyDiv w:val="1"/>
      <w:marLeft w:val="0"/>
      <w:marRight w:val="0"/>
      <w:marTop w:val="0"/>
      <w:marBottom w:val="0"/>
      <w:divBdr>
        <w:top w:val="none" w:sz="0" w:space="0" w:color="auto"/>
        <w:left w:val="none" w:sz="0" w:space="0" w:color="auto"/>
        <w:bottom w:val="none" w:sz="0" w:space="0" w:color="auto"/>
        <w:right w:val="none" w:sz="0" w:space="0" w:color="auto"/>
      </w:divBdr>
      <w:divsChild>
        <w:div w:id="203183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21.net/gs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williamson@ren21.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ristine.lins@ren21.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n21.rotcloud.com/index.php/s/VFmszi7gjkmg8e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n21.ne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n21.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n21.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F094-14AF-4E4E-A795-FFCFE3FE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1283</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BMWi, IT-Referat</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Parvulescu</dc:creator>
  <cp:lastModifiedBy>Katharina Satzinger</cp:lastModifiedBy>
  <cp:revision>13</cp:revision>
  <cp:lastPrinted>2017-06-02T16:21:00Z</cp:lastPrinted>
  <dcterms:created xsi:type="dcterms:W3CDTF">2017-06-02T12:56:00Z</dcterms:created>
  <dcterms:modified xsi:type="dcterms:W3CDTF">2017-06-02T16:42:00Z</dcterms:modified>
</cp:coreProperties>
</file>